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F71C4" w14:textId="162CC51C" w:rsidR="00CE7C64" w:rsidRDefault="00CE7C64" w:rsidP="00CE7C6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041D36">
        <w:rPr>
          <w:rFonts w:ascii="Arial" w:hAnsi="Arial" w:cs="Arial"/>
          <w:b/>
          <w:bCs/>
        </w:rPr>
        <w:t>7737</w:t>
      </w:r>
    </w:p>
    <w:p w14:paraId="22BC3D48" w14:textId="77777777" w:rsidR="00CE7C64" w:rsidRPr="00210D4C" w:rsidRDefault="00CE7C64" w:rsidP="00CE7C64">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2D6BBBBD" w14:textId="77777777" w:rsidR="002F6DF8" w:rsidRDefault="002F6DF8" w:rsidP="00311702">
      <w:pPr>
        <w:pStyle w:val="3GPPHeader"/>
      </w:pPr>
    </w:p>
    <w:p w14:paraId="5FB7E722" w14:textId="24BACD89"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24035C0" w:rsidR="00531215" w:rsidRPr="00764EBC" w:rsidRDefault="003D3C45" w:rsidP="00311702">
      <w:pPr>
        <w:pStyle w:val="3GPPHeader"/>
      </w:pPr>
      <w:r w:rsidRPr="00764EBC">
        <w:t>Title:</w:t>
      </w:r>
      <w:r w:rsidR="00E90E49" w:rsidRPr="00764EBC">
        <w:tab/>
      </w:r>
      <w:r w:rsidR="00365797">
        <w:t xml:space="preserve">On </w:t>
      </w:r>
      <w:r w:rsidR="008E5734">
        <w:t xml:space="preserve">Uplink Time and Frequency Synchronization for </w:t>
      </w:r>
      <w:r w:rsidR="00235F68">
        <w:t xml:space="preserve">NR </w:t>
      </w:r>
      <w:r w:rsidR="008E5734">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2A3CE0D" w14:textId="5135F561" w:rsidR="002300B4" w:rsidRDefault="004063E9" w:rsidP="00FC6B03">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9B4A8C">
        <w:t>[1]</w:t>
      </w:r>
      <w:r>
        <w:fldChar w:fldCharType="end"/>
      </w:r>
      <w:r>
        <w:t xml:space="preserve"> is</w:t>
      </w:r>
      <w:r w:rsidR="00495F3B">
        <w:t xml:space="preserve"> uplink tim</w:t>
      </w:r>
      <w:r w:rsidR="008E5734">
        <w:t>e and frequency</w:t>
      </w:r>
      <w:r>
        <w:t xml:space="preserve"> </w:t>
      </w:r>
      <w:r w:rsidR="008E5734">
        <w:t xml:space="preserve">synchronization </w:t>
      </w:r>
      <w:r>
        <w:t>enhancements for NTN</w:t>
      </w:r>
      <w:r w:rsidR="009C0798">
        <w:t>.</w:t>
      </w:r>
      <w:r w:rsidR="008E5734">
        <w:t xml:space="preserve"> </w:t>
      </w:r>
      <w:r w:rsidR="002F6DF8">
        <w:t xml:space="preserve">A list of topics related to uplink time and frequency synchronization enhancements was </w:t>
      </w:r>
      <w:r w:rsidR="002F1715">
        <w:t>discussed</w:t>
      </w:r>
      <w:r w:rsidR="00E67F94">
        <w:t xml:space="preserve"> </w:t>
      </w:r>
      <w:r w:rsidR="00E67F94">
        <w:fldChar w:fldCharType="begin"/>
      </w:r>
      <w:r w:rsidR="00E67F94">
        <w:instrText xml:space="preserve"> REF _Ref60215586 \r \h </w:instrText>
      </w:r>
      <w:r w:rsidR="00E67F94">
        <w:fldChar w:fldCharType="separate"/>
      </w:r>
      <w:r w:rsidR="009B4A8C">
        <w:t>[2]</w:t>
      </w:r>
      <w:r w:rsidR="00E67F94">
        <w:fldChar w:fldCharType="end"/>
      </w:r>
      <w:r w:rsidR="002F6DF8">
        <w:t xml:space="preserve">. </w:t>
      </w:r>
      <w:r w:rsidR="008E5734">
        <w:t>The following agreements have been made in RAN1 #10</w:t>
      </w:r>
      <w:r w:rsidR="00CE7C64">
        <w:t>5</w:t>
      </w:r>
      <w:r w:rsidR="008E5734">
        <w:t>-e</w:t>
      </w:r>
      <w:r w:rsidR="002F1715">
        <w:t xml:space="preserve"> meeting</w:t>
      </w:r>
      <w:r w:rsidR="002F6DF8">
        <w:t xml:space="preserve"> </w:t>
      </w:r>
      <w:r w:rsidR="002F6DF8">
        <w:fldChar w:fldCharType="begin"/>
      </w:r>
      <w:r w:rsidR="002F6DF8">
        <w:instrText xml:space="preserve"> REF _Ref49784738 \r \h </w:instrText>
      </w:r>
      <w:r w:rsidR="002F6DF8">
        <w:fldChar w:fldCharType="separate"/>
      </w:r>
      <w:r w:rsidR="009B4A8C">
        <w:t>[3]</w:t>
      </w:r>
      <w:r w:rsidR="002F6DF8">
        <w:fldChar w:fldCharType="end"/>
      </w:r>
      <w:r w:rsidR="008E5734">
        <w:t>.</w:t>
      </w:r>
    </w:p>
    <w:p w14:paraId="0130A7F6" w14:textId="6808CEEA" w:rsidR="009C702B" w:rsidRDefault="009C702B" w:rsidP="009C702B">
      <w:pPr>
        <w:rPr>
          <w:lang w:eastAsia="x-none"/>
        </w:rPr>
      </w:pPr>
    </w:p>
    <w:p w14:paraId="7C75F24A" w14:textId="77777777" w:rsidR="00CE7C64" w:rsidRPr="00222B8F" w:rsidRDefault="00CE7C64" w:rsidP="00CE7C64">
      <w:pPr>
        <w:jc w:val="both"/>
        <w:rPr>
          <w:rFonts w:cs="Times"/>
          <w:szCs w:val="20"/>
        </w:rPr>
      </w:pPr>
      <w:r w:rsidRPr="00075112">
        <w:rPr>
          <w:rFonts w:cs="Times"/>
          <w:szCs w:val="20"/>
          <w:highlight w:val="green"/>
        </w:rPr>
        <w:t>Agreement:</w:t>
      </w:r>
    </w:p>
    <w:p w14:paraId="53DCFDA3" w14:textId="77777777" w:rsidR="00CE7C64" w:rsidRPr="00CE7C64" w:rsidRDefault="00CE7C64" w:rsidP="00CE7C64">
      <w:pPr>
        <w:pStyle w:val="DraftProposal"/>
        <w:tabs>
          <w:tab w:val="left" w:pos="720"/>
        </w:tabs>
        <w:jc w:val="both"/>
        <w:rPr>
          <w:rFonts w:ascii="Times" w:hAnsi="Times" w:cs="Times"/>
          <w:b w:val="0"/>
          <w:bCs w:val="0"/>
          <w:sz w:val="24"/>
          <w:szCs w:val="24"/>
        </w:rPr>
      </w:pPr>
      <w:r w:rsidRPr="00CE7C64">
        <w:rPr>
          <w:rFonts w:ascii="Times" w:hAnsi="Times" w:cs="Times"/>
          <w:b w:val="0"/>
          <w:bCs w:val="0"/>
          <w:sz w:val="24"/>
          <w:szCs w:val="24"/>
        </w:rPr>
        <w:t>Specifications should support delivery of ephemeris information using both ephemeris formats, i.e., state vectors and orbital elements.</w:t>
      </w:r>
    </w:p>
    <w:p w14:paraId="5FFB40B0" w14:textId="77777777" w:rsidR="00CE7C64" w:rsidRPr="00222B8F" w:rsidRDefault="00CE7C64" w:rsidP="00CE7C64">
      <w:pPr>
        <w:jc w:val="both"/>
        <w:rPr>
          <w:rFonts w:cs="Times"/>
          <w:szCs w:val="20"/>
        </w:rPr>
      </w:pPr>
      <w:r w:rsidRPr="00570444">
        <w:rPr>
          <w:rFonts w:cs="Times"/>
          <w:szCs w:val="20"/>
          <w:highlight w:val="green"/>
        </w:rPr>
        <w:t>Agreement:</w:t>
      </w:r>
    </w:p>
    <w:p w14:paraId="44ED7E0C" w14:textId="77777777" w:rsidR="00CE7C64" w:rsidRPr="00222B8F" w:rsidRDefault="00CE7C64" w:rsidP="00CE7C64">
      <w:pPr>
        <w:jc w:val="both"/>
        <w:rPr>
          <w:rFonts w:cs="Times"/>
          <w:szCs w:val="20"/>
        </w:rPr>
      </w:pPr>
      <w:r w:rsidRPr="00222B8F">
        <w:rPr>
          <w:rFonts w:cs="Times"/>
          <w:szCs w:val="20"/>
        </w:rPr>
        <w:t>RAN1</w:t>
      </w:r>
      <w:r>
        <w:rPr>
          <w:rFonts w:cs="Times"/>
          <w:szCs w:val="20"/>
        </w:rPr>
        <w:t xml:space="preserve"> </w:t>
      </w:r>
      <w:r w:rsidRPr="00222B8F">
        <w:rPr>
          <w:rFonts w:cs="Times"/>
          <w:szCs w:val="20"/>
        </w:rPr>
        <w:t>should send an LS to SA3, SA1 and possibly SA3-LI to get more inputs regarding the security/regulatory aspects if the NTN GW</w:t>
      </w:r>
      <w:r>
        <w:rPr>
          <w:rFonts w:cs="Times"/>
          <w:szCs w:val="20"/>
        </w:rPr>
        <w:t>/gNB</w:t>
      </w:r>
      <w:r w:rsidRPr="00222B8F">
        <w:rPr>
          <w:rFonts w:cs="Times"/>
          <w:szCs w:val="20"/>
        </w:rPr>
        <w:t xml:space="preserve"> position is</w:t>
      </w:r>
      <w:r>
        <w:rPr>
          <w:rFonts w:cs="Times"/>
          <w:szCs w:val="20"/>
        </w:rPr>
        <w:t xml:space="preserve"> broadcast or possible to be derived by the UE with assistance information from the network, and on any aspects related to accuracy of the position</w:t>
      </w:r>
      <w:r w:rsidRPr="00222B8F">
        <w:rPr>
          <w:rFonts w:cs="Times"/>
          <w:szCs w:val="20"/>
        </w:rPr>
        <w:t>.</w:t>
      </w:r>
    </w:p>
    <w:p w14:paraId="66097197" w14:textId="77777777" w:rsidR="00CE7C64" w:rsidRDefault="00CE7C64" w:rsidP="00CE7C64">
      <w:pPr>
        <w:jc w:val="both"/>
        <w:rPr>
          <w:lang w:eastAsia="x-none"/>
        </w:rPr>
      </w:pPr>
    </w:p>
    <w:p w14:paraId="1357A8E4" w14:textId="77777777" w:rsidR="00CE7C64" w:rsidRPr="00A607BE" w:rsidRDefault="00CE7C64" w:rsidP="00CE7C64">
      <w:pPr>
        <w:jc w:val="both"/>
        <w:rPr>
          <w:u w:val="single"/>
          <w:lang w:eastAsia="x-none"/>
        </w:rPr>
      </w:pPr>
      <w:r w:rsidRPr="00A607BE">
        <w:rPr>
          <w:u w:val="single"/>
          <w:lang w:eastAsia="x-none"/>
        </w:rPr>
        <w:t>Conclusion:</w:t>
      </w:r>
    </w:p>
    <w:p w14:paraId="24F6F00C" w14:textId="77777777" w:rsidR="00CE7C64" w:rsidRDefault="00CE7C64" w:rsidP="00CE7C64">
      <w:pPr>
        <w:jc w:val="both"/>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p w14:paraId="74919AAF" w14:textId="77777777" w:rsidR="00744E64" w:rsidRPr="002300B4" w:rsidRDefault="00744E64" w:rsidP="009C702B">
      <w:pPr>
        <w:rPr>
          <w:lang w:eastAsia="x-none"/>
        </w:rPr>
      </w:pPr>
    </w:p>
    <w:p w14:paraId="05E5CF06" w14:textId="0A5CED78"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w:t>
      </w:r>
      <w:r w:rsidR="002F6DF8">
        <w:rPr>
          <w:szCs w:val="20"/>
        </w:rPr>
        <w:t xml:space="preserve"> </w:t>
      </w:r>
      <w:r w:rsidR="009C0798">
        <w:rPr>
          <w:szCs w:val="20"/>
        </w:rPr>
        <w:t>topics</w:t>
      </w:r>
      <w:r w:rsidR="002F6DF8">
        <w:rPr>
          <w:szCs w:val="20"/>
        </w:rPr>
        <w:t xml:space="preserve"> </w:t>
      </w:r>
      <w:r w:rsidR="003B679C">
        <w:rPr>
          <w:szCs w:val="20"/>
        </w:rPr>
        <w:t xml:space="preserve">of initial TA acquisition, </w:t>
      </w:r>
      <w:r w:rsidR="00347E2F">
        <w:rPr>
          <w:szCs w:val="20"/>
        </w:rPr>
        <w:t>TA margin,</w:t>
      </w:r>
      <w:r w:rsidR="003B679C">
        <w:rPr>
          <w:szCs w:val="20"/>
        </w:rPr>
        <w:t xml:space="preserve"> TA maintenance</w:t>
      </w:r>
      <w:r w:rsidR="00347E2F">
        <w:rPr>
          <w:szCs w:val="20"/>
        </w:rPr>
        <w:t>, uplink</w:t>
      </w:r>
      <w:r w:rsidR="003B679C">
        <w:rPr>
          <w:szCs w:val="20"/>
        </w:rPr>
        <w:t xml:space="preserve"> frequency synchronization</w:t>
      </w:r>
      <w:r w:rsidR="00347E2F">
        <w:rPr>
          <w:szCs w:val="20"/>
        </w:rPr>
        <w:t xml:space="preserve"> and satellite ephemeris </w:t>
      </w:r>
      <w:r w:rsidR="00EE259C">
        <w:rPr>
          <w:szCs w:val="20"/>
        </w:rPr>
        <w:t>signaling</w:t>
      </w:r>
      <w:r w:rsidR="004F5A72">
        <w:rPr>
          <w:szCs w:val="20"/>
        </w:rPr>
        <w:t xml:space="preserve">. </w:t>
      </w:r>
    </w:p>
    <w:p w14:paraId="2DF62AF7" w14:textId="4CEA3B67" w:rsidR="00D01052" w:rsidRPr="00D01052" w:rsidRDefault="00FA539B" w:rsidP="00D01052">
      <w:pPr>
        <w:pStyle w:val="Heading1"/>
      </w:pPr>
      <w:r>
        <w:t>Discussion</w:t>
      </w:r>
    </w:p>
    <w:p w14:paraId="21E5B5D5" w14:textId="0C933730" w:rsidR="00163AAA" w:rsidRDefault="002F6DF8" w:rsidP="00163AAA">
      <w:pPr>
        <w:pStyle w:val="Heading2"/>
        <w:jc w:val="both"/>
      </w:pPr>
      <w:r>
        <w:t>Initial TA acquisition</w:t>
      </w:r>
    </w:p>
    <w:p w14:paraId="4DE7FF0C" w14:textId="6BE4430D" w:rsidR="004A7659" w:rsidRDefault="00683B95" w:rsidP="006D3798">
      <w:pPr>
        <w:jc w:val="both"/>
        <w:rPr>
          <w:rFonts w:eastAsia="SimSun"/>
          <w:color w:val="000000"/>
        </w:rPr>
      </w:pPr>
      <w:r>
        <w:rPr>
          <w:rFonts w:eastAsia="SimSun"/>
          <w:color w:val="000000"/>
        </w:rPr>
        <w:t>The TA applied by an NR NTN UE in either RRC_IDLE/INACTIVE state or RRC_CONNECTED state was agreed</w:t>
      </w:r>
      <w:r w:rsidR="007617E2">
        <w:rPr>
          <w:rFonts w:eastAsia="SimSun"/>
          <w:color w:val="000000"/>
        </w:rPr>
        <w:t xml:space="preserve"> </w:t>
      </w:r>
      <w:r w:rsidR="007617E2">
        <w:rPr>
          <w:rFonts w:eastAsia="SimSun"/>
          <w:color w:val="000000"/>
        </w:rPr>
        <w:fldChar w:fldCharType="begin"/>
      </w:r>
      <w:r w:rsidR="007617E2">
        <w:rPr>
          <w:rFonts w:eastAsia="SimSun"/>
          <w:color w:val="000000"/>
        </w:rPr>
        <w:instrText xml:space="preserve"> REF _Ref77950860 \r \h </w:instrText>
      </w:r>
      <w:r w:rsidR="007617E2">
        <w:rPr>
          <w:rFonts w:eastAsia="SimSun"/>
          <w:color w:val="000000"/>
        </w:rPr>
      </w:r>
      <w:r w:rsidR="007617E2">
        <w:rPr>
          <w:rFonts w:eastAsia="SimSun"/>
          <w:color w:val="000000"/>
        </w:rPr>
        <w:fldChar w:fldCharType="separate"/>
      </w:r>
      <w:r w:rsidR="009B4A8C">
        <w:rPr>
          <w:rFonts w:eastAsia="SimSun"/>
          <w:color w:val="000000"/>
        </w:rPr>
        <w:t>[4]</w:t>
      </w:r>
      <w:r w:rsidR="007617E2">
        <w:rPr>
          <w:rFonts w:eastAsia="SimSun"/>
          <w:color w:val="000000"/>
        </w:rPr>
        <w:fldChar w:fldCharType="end"/>
      </w:r>
      <w:r>
        <w:rPr>
          <w:rFonts w:eastAsia="SimSun"/>
          <w:color w:val="000000"/>
        </w:rPr>
        <w:t>, which depends on UE self-estimated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oMath>
      <w:r>
        <w:rPr>
          <w:rFonts w:eastAsia="SimSun"/>
          <w:color w:val="000000"/>
        </w:rPr>
        <w:t>) for service link and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Pr>
          <w:rFonts w:eastAsia="SimSun"/>
          <w:color w:val="000000"/>
        </w:rPr>
        <w:t xml:space="preserve">) indicated by network. </w:t>
      </w:r>
    </w:p>
    <w:p w14:paraId="1C3DD1D9" w14:textId="0BE273F1" w:rsidR="008F7A38" w:rsidRDefault="008F7A38" w:rsidP="006D3798">
      <w:pPr>
        <w:jc w:val="both"/>
        <w:rPr>
          <w:iCs/>
        </w:rPr>
      </w:pPr>
    </w:p>
    <w:p w14:paraId="0C88AA73" w14:textId="51987449" w:rsidR="00A621AA" w:rsidRDefault="00A621AA" w:rsidP="00A621AA">
      <w:pPr>
        <w:jc w:val="both"/>
        <w:rPr>
          <w:iCs/>
        </w:rPr>
      </w:pPr>
      <w:r>
        <w:rPr>
          <w:iCs/>
        </w:rPr>
        <w:t>One open issue is whether common TA drift rate and</w:t>
      </w:r>
      <w:r w:rsidR="009B4A8C">
        <w:rPr>
          <w:iCs/>
        </w:rPr>
        <w:t>/or</w:t>
      </w:r>
      <w:r w:rsidR="00D374AE">
        <w:rPr>
          <w:iCs/>
        </w:rPr>
        <w:t xml:space="preserve"> high order derivatives of</w:t>
      </w:r>
      <w:r>
        <w:rPr>
          <w:iCs/>
        </w:rPr>
        <w:t xml:space="preserve"> common TA drift are broadcasted from the network. These common TA drift rate and</w:t>
      </w:r>
      <w:r w:rsidR="009B4A8C">
        <w:rPr>
          <w:iCs/>
        </w:rPr>
        <w:t>/or</w:t>
      </w:r>
      <w:r>
        <w:rPr>
          <w:iCs/>
        </w:rPr>
        <w:t xml:space="preserve"> </w:t>
      </w:r>
      <w:r w:rsidR="00D374AE">
        <w:rPr>
          <w:iCs/>
        </w:rPr>
        <w:t xml:space="preserve">high order derivatives of </w:t>
      </w:r>
      <w:r>
        <w:rPr>
          <w:iCs/>
        </w:rPr>
        <w:t>common TA drift are used to determine the common TA used both in initial access and after initial access</w:t>
      </w:r>
      <w:r w:rsidR="007617E2">
        <w:rPr>
          <w:iCs/>
        </w:rPr>
        <w:t xml:space="preserve">. </w:t>
      </w:r>
    </w:p>
    <w:p w14:paraId="71FFB96B" w14:textId="77777777" w:rsidR="00A621AA" w:rsidRDefault="00A621AA" w:rsidP="00A621AA">
      <w:pPr>
        <w:jc w:val="both"/>
        <w:rPr>
          <w:iCs/>
        </w:rPr>
      </w:pPr>
    </w:p>
    <w:p w14:paraId="758ADC10" w14:textId="747DA479" w:rsidR="00A621AA" w:rsidRDefault="00A621AA" w:rsidP="00A621AA">
      <w:pPr>
        <w:jc w:val="both"/>
        <w:rPr>
          <w:iCs/>
        </w:rPr>
      </w:pPr>
      <w:r>
        <w:rPr>
          <w:iCs/>
        </w:rPr>
        <w:lastRenderedPageBreak/>
        <w:t xml:space="preserve">The actual common TA value may drift a large amount if the time gap between two </w:t>
      </w:r>
      <w:r w:rsidR="00FE5F20">
        <w:rPr>
          <w:iCs/>
        </w:rPr>
        <w:t xml:space="preserve">neighbor </w:t>
      </w:r>
      <w:r>
        <w:rPr>
          <w:iCs/>
        </w:rPr>
        <w:t xml:space="preserve">common TA broadcast is large. Consider an example of common TA drift rate of </w:t>
      </w:r>
      <w:r w:rsidR="00FE5F20">
        <w:rPr>
          <w:iCs/>
        </w:rPr>
        <w:t>2</w:t>
      </w:r>
      <w:r>
        <w:rPr>
          <w:iCs/>
        </w:rPr>
        <w:t xml:space="preserve">0 </w:t>
      </w:r>
      <m:oMath>
        <m:r>
          <w:rPr>
            <w:rFonts w:ascii="Cambria Math" w:hAnsi="Cambria Math"/>
          </w:rPr>
          <m:t>μs/s</m:t>
        </m:r>
      </m:oMath>
      <w:r>
        <w:rPr>
          <w:iCs/>
        </w:rPr>
        <w:t xml:space="preserve"> and the time gap between two common TA broadcast is 160 ms. Then the actual common TA is shifted </w:t>
      </w:r>
      <w:r w:rsidR="00FE5F20">
        <w:rPr>
          <w:iCs/>
        </w:rPr>
        <w:t xml:space="preserve">3.2 </w:t>
      </w:r>
      <m:oMath>
        <m:r>
          <w:rPr>
            <w:rFonts w:ascii="Cambria Math" w:hAnsi="Cambria Math"/>
          </w:rPr>
          <m:t>μs</m:t>
        </m:r>
      </m:oMath>
      <w:r>
        <w:rPr>
          <w:iCs/>
        </w:rPr>
        <w:t>, which is larger than CP length for SCS=</w:t>
      </w:r>
      <w:r w:rsidR="00FE5F20">
        <w:rPr>
          <w:iCs/>
        </w:rPr>
        <w:t>30</w:t>
      </w:r>
      <w:r>
        <w:rPr>
          <w:iCs/>
        </w:rPr>
        <w:t xml:space="preserve"> kHz. </w:t>
      </w:r>
    </w:p>
    <w:p w14:paraId="280BD9EE" w14:textId="1BC147F9" w:rsidR="00A621AA" w:rsidRDefault="00A621AA" w:rsidP="00A621AA">
      <w:pPr>
        <w:jc w:val="both"/>
        <w:rPr>
          <w:iCs/>
        </w:rPr>
      </w:pPr>
    </w:p>
    <w:p w14:paraId="4135D97A" w14:textId="5F53E530" w:rsidR="00613370" w:rsidRDefault="00FF699E" w:rsidP="00613370">
      <w:pPr>
        <w:jc w:val="both"/>
        <w:rPr>
          <w:iCs/>
        </w:rPr>
      </w:pPr>
      <w:r>
        <w:rPr>
          <w:iCs/>
        </w:rPr>
        <w:t xml:space="preserve">Two options were discussed extensively in RAN1 #105-e meeting </w:t>
      </w:r>
      <w:r>
        <w:rPr>
          <w:iCs/>
        </w:rPr>
        <w:fldChar w:fldCharType="begin"/>
      </w:r>
      <w:r>
        <w:rPr>
          <w:iCs/>
        </w:rPr>
        <w:instrText xml:space="preserve"> REF _Ref60215586 \r \h </w:instrText>
      </w:r>
      <w:r>
        <w:rPr>
          <w:iCs/>
        </w:rPr>
      </w:r>
      <w:r>
        <w:rPr>
          <w:iCs/>
        </w:rPr>
        <w:fldChar w:fldCharType="separate"/>
      </w:r>
      <w:r w:rsidR="009B4A8C">
        <w:rPr>
          <w:iCs/>
        </w:rPr>
        <w:t>[2]</w:t>
      </w:r>
      <w:r>
        <w:rPr>
          <w:iCs/>
        </w:rPr>
        <w:fldChar w:fldCharType="end"/>
      </w:r>
      <w:r>
        <w:rPr>
          <w:iCs/>
        </w:rPr>
        <w:t xml:space="preserve">. </w:t>
      </w:r>
      <w:r w:rsidR="00613370">
        <w:rPr>
          <w:iCs/>
        </w:rPr>
        <w:t xml:space="preserve">In one option, common TA drift rate and/or </w:t>
      </w:r>
      <w:r w:rsidR="00D374AE">
        <w:rPr>
          <w:iCs/>
        </w:rPr>
        <w:t xml:space="preserve">high order derivates of </w:t>
      </w:r>
      <w:r w:rsidR="00613370">
        <w:rPr>
          <w:iCs/>
        </w:rPr>
        <w:t>common TA drift are broadcasted so that UE adjusts its common TA based on the</w:t>
      </w:r>
      <w:r w:rsidR="007E474F">
        <w:rPr>
          <w:iCs/>
        </w:rPr>
        <w:t>se</w:t>
      </w:r>
      <w:r w:rsidR="00613370">
        <w:rPr>
          <w:iCs/>
        </w:rPr>
        <w:t xml:space="preserve"> drift parameters. This option provides a better approximation of UE’s applied common TA to the actual common TA</w:t>
      </w:r>
      <w:r w:rsidR="007E474F">
        <w:rPr>
          <w:iCs/>
        </w:rPr>
        <w:t xml:space="preserve"> at the cost of signaling overhead. </w:t>
      </w:r>
    </w:p>
    <w:p w14:paraId="079A3026" w14:textId="49E4F596" w:rsidR="00613370" w:rsidRDefault="00613370" w:rsidP="00A621AA">
      <w:pPr>
        <w:jc w:val="both"/>
        <w:rPr>
          <w:iCs/>
        </w:rPr>
      </w:pPr>
    </w:p>
    <w:p w14:paraId="60F2CB1C" w14:textId="53CCCB9C" w:rsidR="00F53862" w:rsidRDefault="00F53862" w:rsidP="00A621AA">
      <w:pPr>
        <w:jc w:val="both"/>
        <w:rPr>
          <w:iCs/>
        </w:rPr>
      </w:pPr>
      <w:r>
        <w:rPr>
          <w:iCs/>
        </w:rPr>
        <w:t xml:space="preserve">In </w:t>
      </w:r>
      <w:r w:rsidR="00613370">
        <w:rPr>
          <w:iCs/>
        </w:rPr>
        <w:t>another</w:t>
      </w:r>
      <w:r>
        <w:rPr>
          <w:iCs/>
        </w:rPr>
        <w:t xml:space="preserve"> option, neither common TA drift rate nor </w:t>
      </w:r>
      <w:r w:rsidR="00D374AE">
        <w:rPr>
          <w:iCs/>
        </w:rPr>
        <w:t xml:space="preserve">high order derivates of </w:t>
      </w:r>
      <w:r>
        <w:rPr>
          <w:iCs/>
        </w:rPr>
        <w:t xml:space="preserve">common TA drift is broadcasted. </w:t>
      </w:r>
      <w:r w:rsidR="00613370">
        <w:rPr>
          <w:iCs/>
        </w:rPr>
        <w:t>T</w:t>
      </w:r>
      <w:r>
        <w:rPr>
          <w:iCs/>
        </w:rPr>
        <w:t xml:space="preserve">he common TA used by UE does not update between two neighbor common TA reception. </w:t>
      </w:r>
      <w:r w:rsidR="00613370">
        <w:rPr>
          <w:iCs/>
        </w:rPr>
        <w:t>In this option</w:t>
      </w:r>
      <w:r>
        <w:rPr>
          <w:iCs/>
        </w:rPr>
        <w:t xml:space="preserve">, the common TA used by UE </w:t>
      </w:r>
      <w:r w:rsidR="00FF699E">
        <w:rPr>
          <w:iCs/>
        </w:rPr>
        <w:t>may</w:t>
      </w:r>
      <w:r>
        <w:rPr>
          <w:iCs/>
        </w:rPr>
        <w:t xml:space="preserve"> not match the actual common TA value. This requires network to keep adjusting its DL-UL timing gap</w:t>
      </w:r>
      <w:r w:rsidR="007E474F">
        <w:rPr>
          <w:iCs/>
        </w:rPr>
        <w:t>. In this option,</w:t>
      </w:r>
      <w:r w:rsidR="00613370">
        <w:rPr>
          <w:iCs/>
        </w:rPr>
        <w:t xml:space="preserve"> the feeder link timing drift is transparent to UE. </w:t>
      </w:r>
    </w:p>
    <w:p w14:paraId="6218B665" w14:textId="77777777" w:rsidR="00613370" w:rsidRDefault="00613370" w:rsidP="00A621AA">
      <w:pPr>
        <w:jc w:val="both"/>
        <w:rPr>
          <w:iCs/>
        </w:rPr>
      </w:pPr>
    </w:p>
    <w:p w14:paraId="2CFF1A0A" w14:textId="166E40AB" w:rsidR="00613370" w:rsidRDefault="00613370" w:rsidP="00A621AA">
      <w:pPr>
        <w:jc w:val="both"/>
        <w:rPr>
          <w:iCs/>
        </w:rPr>
      </w:pPr>
      <w:r>
        <w:rPr>
          <w:iCs/>
        </w:rPr>
        <w:t>The opponent to the first option is that UE’s uplink timing error</w:t>
      </w:r>
      <w:r w:rsidR="007E474F">
        <w:rPr>
          <w:iCs/>
        </w:rPr>
        <w:t xml:space="preserve"> already</w:t>
      </w:r>
      <w:r>
        <w:rPr>
          <w:iCs/>
        </w:rPr>
        <w:t xml:space="preserve"> includes </w:t>
      </w:r>
      <w:r w:rsidRPr="00613370">
        <w:rPr>
          <w:iCs/>
        </w:rPr>
        <w:t>DL synchronization error, clock drift/jitter, UE’s GNSS error, satellite position projection erro</w:t>
      </w:r>
      <w:r w:rsidR="007E474F">
        <w:rPr>
          <w:iCs/>
        </w:rPr>
        <w:t>r, etc</w:t>
      </w:r>
      <w:r>
        <w:rPr>
          <w:iCs/>
        </w:rPr>
        <w:t xml:space="preserve">. If the feeder link timing error is additionally counted in </w:t>
      </w:r>
      <w:r w:rsidRPr="00613370">
        <w:rPr>
          <w:iCs/>
        </w:rPr>
        <w:t>UE’s total uplink timing error, then UE implementation complexity</w:t>
      </w:r>
      <w:r>
        <w:rPr>
          <w:iCs/>
        </w:rPr>
        <w:t xml:space="preserve"> is increased</w:t>
      </w:r>
      <w:r w:rsidRPr="00613370">
        <w:rPr>
          <w:iCs/>
        </w:rPr>
        <w:t>, since</w:t>
      </w:r>
      <w:r>
        <w:rPr>
          <w:iCs/>
        </w:rPr>
        <w:t xml:space="preserve"> the</w:t>
      </w:r>
      <w:r w:rsidRPr="00613370">
        <w:rPr>
          <w:iCs/>
        </w:rPr>
        <w:t xml:space="preserve"> other timing errors need to be compressed to reach the </w:t>
      </w:r>
      <w:r>
        <w:rPr>
          <w:iCs/>
        </w:rPr>
        <w:t xml:space="preserve">overall </w:t>
      </w:r>
      <w:r w:rsidR="00351EE1">
        <w:rPr>
          <w:iCs/>
        </w:rPr>
        <w:t xml:space="preserve">uplink </w:t>
      </w:r>
      <w:r w:rsidRPr="00613370">
        <w:rPr>
          <w:iCs/>
        </w:rPr>
        <w:t xml:space="preserve">timing error budget. </w:t>
      </w:r>
      <w:r w:rsidR="007E474F">
        <w:rPr>
          <w:iCs/>
        </w:rPr>
        <w:t xml:space="preserve">The opponent to the second option is that </w:t>
      </w:r>
      <w:r w:rsidR="007E474F" w:rsidRPr="007E474F">
        <w:rPr>
          <w:iCs/>
        </w:rPr>
        <w:t xml:space="preserve">a large and time-varying time misalignment between </w:t>
      </w:r>
      <w:r w:rsidR="007E474F">
        <w:rPr>
          <w:iCs/>
        </w:rPr>
        <w:t>uplink</w:t>
      </w:r>
      <w:r w:rsidR="007E474F" w:rsidRPr="007E474F">
        <w:rPr>
          <w:iCs/>
        </w:rPr>
        <w:t xml:space="preserve"> and </w:t>
      </w:r>
      <w:r w:rsidR="007E474F">
        <w:rPr>
          <w:iCs/>
        </w:rPr>
        <w:t>downlink</w:t>
      </w:r>
      <w:r w:rsidR="007E474F" w:rsidRPr="007E474F">
        <w:rPr>
          <w:iCs/>
        </w:rPr>
        <w:t xml:space="preserve"> at gNB </w:t>
      </w:r>
      <w:r w:rsidR="007E474F">
        <w:rPr>
          <w:iCs/>
        </w:rPr>
        <w:t>significantly</w:t>
      </w:r>
      <w:r w:rsidR="007E474F" w:rsidRPr="007E474F">
        <w:rPr>
          <w:iCs/>
        </w:rPr>
        <w:t xml:space="preserve"> lead</w:t>
      </w:r>
      <w:r w:rsidR="007E474F">
        <w:rPr>
          <w:iCs/>
        </w:rPr>
        <w:t>s</w:t>
      </w:r>
      <w:r w:rsidR="007E474F" w:rsidRPr="007E474F">
        <w:rPr>
          <w:iCs/>
        </w:rPr>
        <w:t xml:space="preserve"> to gNB implementation complexity</w:t>
      </w:r>
      <w:r w:rsidR="007E474F">
        <w:rPr>
          <w:iCs/>
        </w:rPr>
        <w:t>.</w:t>
      </w:r>
    </w:p>
    <w:p w14:paraId="59E6AB0A" w14:textId="59759F1C" w:rsidR="005A6B66" w:rsidRDefault="005A6B66" w:rsidP="00A621AA">
      <w:pPr>
        <w:jc w:val="both"/>
        <w:rPr>
          <w:iCs/>
        </w:rPr>
      </w:pPr>
    </w:p>
    <w:p w14:paraId="0A8A8FBF" w14:textId="59E05E3B" w:rsidR="00585B7C" w:rsidRDefault="007E474F" w:rsidP="00A621AA">
      <w:pPr>
        <w:jc w:val="both"/>
        <w:rPr>
          <w:iCs/>
        </w:rPr>
      </w:pPr>
      <w:r>
        <w:rPr>
          <w:iCs/>
        </w:rPr>
        <w:t>We think whether or not indicating common TA drift parameters can be based on network implementation. For example, if the timing reference point is at satellite, then there is no need for network to broadcast common TA drift parameters. If the timing reference point is at gNB and it is</w:t>
      </w:r>
      <w:r w:rsidR="00585B7C">
        <w:rPr>
          <w:iCs/>
        </w:rPr>
        <w:t xml:space="preserve"> thought to be</w:t>
      </w:r>
      <w:r>
        <w:rPr>
          <w:iCs/>
        </w:rPr>
        <w:t xml:space="preserve"> beneficial </w:t>
      </w:r>
      <w:r w:rsidR="00351EE1">
        <w:rPr>
          <w:iCs/>
        </w:rPr>
        <w:t>if</w:t>
      </w:r>
      <w:r>
        <w:rPr>
          <w:iCs/>
        </w:rPr>
        <w:t xml:space="preserve"> UE pre-compensate</w:t>
      </w:r>
      <w:r w:rsidR="00351EE1">
        <w:rPr>
          <w:iCs/>
        </w:rPr>
        <w:t>s</w:t>
      </w:r>
      <w:r>
        <w:rPr>
          <w:iCs/>
        </w:rPr>
        <w:t xml:space="preserve"> the feeder link drift, then the common TA drift parameters could be broadcasted by the network.</w:t>
      </w:r>
      <w:r w:rsidR="00585B7C">
        <w:rPr>
          <w:iCs/>
        </w:rPr>
        <w:t xml:space="preserve"> </w:t>
      </w:r>
    </w:p>
    <w:p w14:paraId="5DF689C0" w14:textId="5E51723C" w:rsidR="00585B7C" w:rsidRDefault="00585B7C" w:rsidP="00A621AA">
      <w:pPr>
        <w:jc w:val="both"/>
        <w:rPr>
          <w:iCs/>
        </w:rPr>
      </w:pPr>
    </w:p>
    <w:p w14:paraId="1065EA37" w14:textId="375E207E" w:rsidR="007E474F" w:rsidRDefault="00585B7C" w:rsidP="00A621AA">
      <w:pPr>
        <w:jc w:val="both"/>
        <w:rPr>
          <w:iCs/>
        </w:rPr>
      </w:pPr>
      <w:r>
        <w:rPr>
          <w:iCs/>
        </w:rPr>
        <w:t xml:space="preserve">When not receiving the common TA drift parameters, UE does not adjust its common TA between two neighbor common TA reception. When receiving the common TA drift parameters, UE needs to pre-compensate the drifted common TA in its uplink transmissions. However, the common TA </w:t>
      </w:r>
      <w:r w:rsidRPr="00585B7C">
        <w:rPr>
          <w:iCs/>
        </w:rPr>
        <w:t>timing error</w:t>
      </w:r>
      <w:r>
        <w:rPr>
          <w:iCs/>
        </w:rPr>
        <w:t xml:space="preserve"> (i.e., the gap between UE’s applied common TA and the actual common TA) should</w:t>
      </w:r>
      <w:r w:rsidRPr="00585B7C">
        <w:rPr>
          <w:iCs/>
        </w:rPr>
        <w:t xml:space="preserve"> not</w:t>
      </w:r>
      <w:r>
        <w:rPr>
          <w:iCs/>
        </w:rPr>
        <w:t xml:space="preserve"> be</w:t>
      </w:r>
      <w:r w:rsidRPr="00585B7C">
        <w:rPr>
          <w:iCs/>
        </w:rPr>
        <w:t xml:space="preserve"> counted in UE’s overall uplink timing erro</w:t>
      </w:r>
      <w:r>
        <w:rPr>
          <w:iCs/>
        </w:rPr>
        <w:t>r budget.</w:t>
      </w:r>
    </w:p>
    <w:p w14:paraId="01552FA0" w14:textId="77777777" w:rsidR="007E474F" w:rsidRDefault="007E474F" w:rsidP="00A621AA">
      <w:pPr>
        <w:jc w:val="both"/>
        <w:rPr>
          <w:iCs/>
        </w:rPr>
      </w:pPr>
    </w:p>
    <w:p w14:paraId="71B5AD18" w14:textId="51B38866" w:rsidR="00C97F75" w:rsidRDefault="00FE5F20" w:rsidP="00A621AA">
      <w:pPr>
        <w:jc w:val="both"/>
        <w:rPr>
          <w:iCs/>
        </w:rPr>
      </w:pPr>
      <w:r>
        <w:rPr>
          <w:iCs/>
        </w:rPr>
        <w:t xml:space="preserve">Hence, we have the following proposal. </w:t>
      </w:r>
    </w:p>
    <w:p w14:paraId="6F84966E" w14:textId="77777777" w:rsidR="00585B7C" w:rsidRDefault="00585B7C" w:rsidP="00A621AA">
      <w:pPr>
        <w:jc w:val="both"/>
        <w:rPr>
          <w:iCs/>
        </w:rPr>
      </w:pPr>
    </w:p>
    <w:p w14:paraId="028869A5" w14:textId="382C2830" w:rsidR="007617E2" w:rsidRDefault="00A621AA" w:rsidP="00A621AA">
      <w:pPr>
        <w:jc w:val="both"/>
        <w:rPr>
          <w:i/>
        </w:rPr>
      </w:pPr>
      <w:r w:rsidRPr="00AF7963">
        <w:rPr>
          <w:b/>
          <w:i/>
          <w:u w:val="single"/>
        </w:rPr>
        <w:t xml:space="preserve">Proposal </w:t>
      </w:r>
      <w:r>
        <w:rPr>
          <w:b/>
          <w:i/>
          <w:u w:val="single"/>
        </w:rPr>
        <w:t>1</w:t>
      </w:r>
      <w:r w:rsidRPr="001C381A">
        <w:rPr>
          <w:b/>
          <w:i/>
          <w:u w:val="single"/>
        </w:rPr>
        <w:t>:</w:t>
      </w:r>
      <w:r>
        <w:rPr>
          <w:i/>
        </w:rPr>
        <w:t xml:space="preserve"> </w:t>
      </w:r>
      <w:r w:rsidR="0021487D">
        <w:rPr>
          <w:i/>
        </w:rPr>
        <w:t>It is up to network implementation on the indication of common TA drift parameters.</w:t>
      </w:r>
    </w:p>
    <w:p w14:paraId="70C46A76" w14:textId="023D315D" w:rsidR="0021487D" w:rsidRDefault="0021487D" w:rsidP="0021487D">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If c</w:t>
      </w:r>
      <w:r w:rsidRPr="0021487D">
        <w:rPr>
          <w:rFonts w:ascii="Times New Roman" w:eastAsia="Malgun Gothic" w:hAnsi="Times New Roman"/>
          <w:i/>
          <w:sz w:val="24"/>
          <w:szCs w:val="24"/>
          <w:lang w:eastAsia="zh-CN"/>
        </w:rPr>
        <w:t>ommon TA drift parameters are not indicated, then</w:t>
      </w:r>
      <w:r>
        <w:rPr>
          <w:rFonts w:ascii="Times New Roman" w:eastAsia="Malgun Gothic" w:hAnsi="Times New Roman"/>
          <w:i/>
          <w:sz w:val="24"/>
          <w:szCs w:val="24"/>
          <w:lang w:eastAsia="zh-CN"/>
        </w:rPr>
        <w:t xml:space="preserve"> UE assumes no common TA drift.</w:t>
      </w:r>
    </w:p>
    <w:p w14:paraId="0D1FEE69" w14:textId="77777777" w:rsidR="00585B7C" w:rsidRDefault="0021487D" w:rsidP="0021487D">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If common TA drift parameters are indicated, then UE</w:t>
      </w:r>
      <w:r w:rsidR="00FF699E">
        <w:rPr>
          <w:rFonts w:ascii="Times New Roman" w:eastAsia="Malgun Gothic" w:hAnsi="Times New Roman"/>
          <w:i/>
          <w:sz w:val="24"/>
          <w:szCs w:val="24"/>
          <w:lang w:eastAsia="zh-CN"/>
        </w:rPr>
        <w:t xml:space="preserve"> pre-compensates the drifted common TA. </w:t>
      </w:r>
    </w:p>
    <w:p w14:paraId="009B761C" w14:textId="018A9F69" w:rsidR="0021487D" w:rsidRDefault="00FF699E" w:rsidP="0021487D">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The common TA timing error is not counted in UE’s uplink timing error</w:t>
      </w:r>
      <w:r w:rsidR="00585B7C">
        <w:rPr>
          <w:rFonts w:ascii="Times New Roman" w:eastAsia="Malgun Gothic" w:hAnsi="Times New Roman"/>
          <w:i/>
          <w:sz w:val="24"/>
          <w:szCs w:val="24"/>
          <w:lang w:eastAsia="zh-CN"/>
        </w:rPr>
        <w:t xml:space="preserve"> budget. </w:t>
      </w:r>
    </w:p>
    <w:p w14:paraId="72EC4B2D" w14:textId="31114390" w:rsidR="00FF699E" w:rsidRPr="0021487D" w:rsidRDefault="00FF699E" w:rsidP="0021487D">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Common TA drift parameters include at least common TA drift rate. FFS common TA drift high order derivatives.</w:t>
      </w:r>
    </w:p>
    <w:p w14:paraId="69D081A1" w14:textId="77777777" w:rsidR="00A621AA" w:rsidRDefault="00A621AA" w:rsidP="006D3798">
      <w:pPr>
        <w:jc w:val="both"/>
        <w:rPr>
          <w:iCs/>
        </w:rPr>
      </w:pPr>
    </w:p>
    <w:p w14:paraId="6EFCC142" w14:textId="6BFC95FC" w:rsidR="008F7A38" w:rsidRDefault="00C97F75" w:rsidP="006D3798">
      <w:pPr>
        <w:jc w:val="both"/>
        <w:rPr>
          <w:color w:val="000000"/>
        </w:rPr>
      </w:pPr>
      <w:r>
        <w:rPr>
          <w:iCs/>
        </w:rPr>
        <w:t>Another</w:t>
      </w:r>
      <w:r w:rsidR="004A7659">
        <w:rPr>
          <w:iCs/>
        </w:rPr>
        <w:t xml:space="preserve"> open issue is the signaling and the granularity of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4A7659">
        <w:rPr>
          <w:color w:val="000000"/>
        </w:rPr>
        <w:t xml:space="preserve">. </w:t>
      </w:r>
      <w:r w:rsidR="00347E2F">
        <w:rPr>
          <w:color w:val="000000"/>
        </w:rPr>
        <w:t>T</w:t>
      </w:r>
      <w:r w:rsidR="004A7659">
        <w:rPr>
          <w:color w:val="000000"/>
        </w:rPr>
        <w:t xml:space="preserve">he granularity of </w:t>
      </w:r>
      <m:oMath>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TA,common</m:t>
            </m:r>
          </m:sub>
        </m:sSub>
      </m:oMath>
      <w:r w:rsidR="004A7659">
        <w:rPr>
          <w:color w:val="000000"/>
        </w:rPr>
        <w:t xml:space="preserve"> </w:t>
      </w:r>
      <w:r w:rsidR="00347E2F">
        <w:rPr>
          <w:color w:val="000000"/>
        </w:rPr>
        <w:t>could be</w:t>
      </w:r>
      <w:r w:rsidR="004A7659">
        <w:rPr>
          <w:color w:val="000000"/>
        </w:rPr>
        <w:t xml:space="preserve"> in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sidR="004A7659">
        <w:rPr>
          <w:color w:val="000000"/>
        </w:rPr>
        <w:t xml:space="preserve">. </w:t>
      </w:r>
      <w:r w:rsidR="00347E2F">
        <w:rPr>
          <w:color w:val="000000"/>
        </w:rPr>
        <w:t>However</w:t>
      </w:r>
      <w:r w:rsidR="004A7659">
        <w:rPr>
          <w:color w:val="000000"/>
        </w:rPr>
        <w:t xml:space="preserve">, to save the signaling overhead, we </w:t>
      </w:r>
      <w:r w:rsidR="00347E2F">
        <w:rPr>
          <w:color w:val="000000"/>
        </w:rPr>
        <w:t>prefer</w:t>
      </w:r>
      <w:r w:rsidR="004A7659">
        <w:rPr>
          <w:color w:val="000000"/>
        </w:rPr>
        <w:t xml:space="preserve"> the same granularity level as TA command for the broadcast common TA. Specifically, the value indicated in the common TA signaling is in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sidR="004A7659">
        <w:rPr>
          <w:color w:val="000000"/>
        </w:rPr>
        <w:t xml:space="preserve">. </w:t>
      </w:r>
    </w:p>
    <w:p w14:paraId="138991C7" w14:textId="77777777" w:rsidR="008F7A38" w:rsidRDefault="008F7A38" w:rsidP="006D3798">
      <w:pPr>
        <w:jc w:val="both"/>
        <w:rPr>
          <w:color w:val="000000"/>
        </w:rPr>
      </w:pPr>
    </w:p>
    <w:p w14:paraId="728D4D17" w14:textId="718EEF91" w:rsidR="004A7659" w:rsidRDefault="004A7659" w:rsidP="006D3798">
      <w:pPr>
        <w:jc w:val="both"/>
        <w:rPr>
          <w:iCs/>
        </w:rPr>
      </w:pPr>
      <w:r>
        <w:rPr>
          <w:color w:val="000000"/>
        </w:rPr>
        <w:lastRenderedPageBreak/>
        <w:t xml:space="preserve">The maximum value of common TA could be limited by the maximum </w:t>
      </w:r>
      <w:r w:rsidR="001549AC">
        <w:rPr>
          <w:color w:val="000000"/>
        </w:rPr>
        <w:t>RTT</w:t>
      </w:r>
      <w:r>
        <w:rPr>
          <w:color w:val="000000"/>
        </w:rPr>
        <w:t xml:space="preserve"> between satellite and gNB. Conside</w:t>
      </w:r>
      <w:r w:rsidR="00DD24A0">
        <w:rPr>
          <w:color w:val="000000"/>
        </w:rPr>
        <w:t>r</w:t>
      </w:r>
      <w:r>
        <w:rPr>
          <w:color w:val="000000"/>
        </w:rPr>
        <w:t xml:space="preserve"> the GEO scenario, where the maximum </w:t>
      </w:r>
      <w:r w:rsidR="00457942">
        <w:rPr>
          <w:color w:val="000000"/>
        </w:rPr>
        <w:t>RTT</w:t>
      </w:r>
      <w:r w:rsidR="00DD24A0">
        <w:rPr>
          <w:color w:val="000000"/>
        </w:rPr>
        <w:t xml:space="preserve"> between satellite and gNB is 270.73 ms. Then, the maximum value of common TA is given </w:t>
      </w:r>
      <m:oMath>
        <m:f>
          <m:fPr>
            <m:ctrlPr>
              <w:rPr>
                <w:rFonts w:ascii="Cambria Math" w:hAnsi="Cambria Math"/>
                <w:i/>
                <w:color w:val="000000"/>
              </w:rPr>
            </m:ctrlPr>
          </m:fPr>
          <m:num>
            <m:r>
              <w:rPr>
                <w:rFonts w:ascii="Cambria Math" w:hAnsi="Cambria Math"/>
                <w:color w:val="000000"/>
              </w:rPr>
              <m:t>270.73 ms</m:t>
            </m:r>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den>
        </m:f>
      </m:oMath>
      <w:r w:rsidR="00DD24A0">
        <w:rPr>
          <w:color w:val="000000"/>
        </w:rPr>
        <w:t xml:space="preserve">, which is about </w:t>
      </w:r>
      <m:oMath>
        <m:r>
          <w:rPr>
            <w:rFonts w:ascii="Cambria Math" w:hAnsi="Cambria Math"/>
            <w:color w:val="000000"/>
          </w:rPr>
          <m:t>4.16×</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6</m:t>
            </m:r>
          </m:sup>
        </m:sSup>
      </m:oMath>
      <w:r w:rsidR="00DD24A0">
        <w:rPr>
          <w:color w:val="000000"/>
        </w:rPr>
        <w:t xml:space="preserve"> for </w:t>
      </w:r>
      <m:oMath>
        <m:r>
          <w:rPr>
            <w:rFonts w:ascii="Cambria Math" w:hAnsi="Cambria Math"/>
            <w:color w:val="000000"/>
          </w:rPr>
          <m:t>μ=3</m:t>
        </m:r>
      </m:oMath>
      <w:r w:rsidR="00DD24A0">
        <w:rPr>
          <w:color w:val="000000"/>
        </w:rPr>
        <w:t xml:space="preserve">. On the other hand, the minimum value of common TA is given by 0. Overall, a total of 22 bits </w:t>
      </w:r>
      <w:r w:rsidR="0091767F">
        <w:rPr>
          <w:color w:val="000000"/>
        </w:rPr>
        <w:t>is</w:t>
      </w:r>
      <w:r w:rsidR="00DD24A0">
        <w:rPr>
          <w:color w:val="000000"/>
        </w:rPr>
        <w:t xml:space="preserve"> required to represent the common TA value.</w:t>
      </w:r>
    </w:p>
    <w:p w14:paraId="30CE6B31" w14:textId="77777777" w:rsidR="004A7659" w:rsidRDefault="004A7659" w:rsidP="006D3798">
      <w:pPr>
        <w:jc w:val="both"/>
        <w:rPr>
          <w:iCs/>
        </w:rPr>
      </w:pPr>
    </w:p>
    <w:p w14:paraId="43A0BEAA" w14:textId="3F4B4222" w:rsidR="0091767F" w:rsidRDefault="004A7659" w:rsidP="006D3798">
      <w:pPr>
        <w:jc w:val="both"/>
        <w:rPr>
          <w:iCs/>
        </w:rPr>
      </w:pPr>
      <w:r w:rsidRPr="00AF7963">
        <w:rPr>
          <w:b/>
          <w:i/>
          <w:u w:val="single"/>
        </w:rPr>
        <w:t xml:space="preserve">Proposal </w:t>
      </w:r>
      <w:r w:rsidR="00C73583">
        <w:rPr>
          <w:b/>
          <w:i/>
          <w:u w:val="single"/>
        </w:rPr>
        <w:t>2</w:t>
      </w:r>
      <w:r w:rsidRPr="001C381A">
        <w:rPr>
          <w:b/>
          <w:i/>
          <w:u w:val="single"/>
        </w:rPr>
        <w:t>:</w:t>
      </w:r>
      <w:r>
        <w:rPr>
          <w:i/>
        </w:rPr>
        <w:t xml:space="preserve"> The</w:t>
      </w:r>
      <w:r w:rsidR="0091767F">
        <w:rPr>
          <w:i/>
        </w:rPr>
        <w:t xml:space="preserve"> broadcast common </w:t>
      </w:r>
      <w:r w:rsidR="00E3341C">
        <w:rPr>
          <w:i/>
        </w:rPr>
        <w:t xml:space="preserve">TA </w:t>
      </w:r>
      <w:r w:rsidR="0091767F">
        <w:rPr>
          <w:i/>
          <w:color w:val="000000"/>
        </w:rPr>
        <w:t xml:space="preserve">is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sidR="003A1824">
        <w:rPr>
          <w:i/>
          <w:color w:val="000000"/>
        </w:rPr>
        <w:t>.</w:t>
      </w:r>
    </w:p>
    <w:p w14:paraId="1978AC66" w14:textId="77777777" w:rsidR="008F7A38" w:rsidRDefault="008F7A38" w:rsidP="003F2111">
      <w:pPr>
        <w:jc w:val="both"/>
        <w:rPr>
          <w:iCs/>
        </w:rPr>
      </w:pPr>
    </w:p>
    <w:p w14:paraId="0910EF16" w14:textId="4F169BBB" w:rsidR="006C7AE1" w:rsidRDefault="006C7AE1" w:rsidP="003F2111">
      <w:pPr>
        <w:jc w:val="both"/>
        <w:rPr>
          <w:color w:val="000000"/>
        </w:rPr>
      </w:pPr>
      <w:r>
        <w:rPr>
          <w:iCs/>
        </w:rPr>
        <w:t xml:space="preserve">With the reception of common TA drift rate, UE is able to calculate the common TA used for uplink transmissions. The common TA </w:t>
      </w:r>
      <w:r>
        <w:rPr>
          <w:color w:val="000000"/>
        </w:rPr>
        <w:t xml:space="preserve">used for UE’s uplink transmission (either in or after initial access) </w:t>
      </w:r>
      <w:r>
        <w:rPr>
          <w:iCs/>
        </w:rPr>
        <w:t xml:space="preserve">is obtained by the latest received common TA, the latest received common TA drift rate, as well as the time gap between the latest common TA </w:t>
      </w:r>
      <w:r w:rsidR="00970CFF">
        <w:rPr>
          <w:iCs/>
        </w:rPr>
        <w:t>transmission</w:t>
      </w:r>
      <w:r>
        <w:rPr>
          <w:iCs/>
        </w:rPr>
        <w:t xml:space="preserve"> and the corresponding uplink transmission.</w:t>
      </w:r>
      <w:r w:rsidR="007A7643">
        <w:rPr>
          <w:iCs/>
        </w:rPr>
        <w:t xml:space="preserve"> </w:t>
      </w:r>
      <w:r w:rsidR="004C672D">
        <w:rPr>
          <w:color w:val="000000"/>
        </w:rPr>
        <w:t xml:space="preserve">Specifically, we have </w:t>
      </w:r>
    </w:p>
    <w:p w14:paraId="2E63C4BE" w14:textId="117F2FE0" w:rsidR="004C672D" w:rsidRPr="004C672D" w:rsidRDefault="005A3289" w:rsidP="004C672D">
      <w:pPr>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4C672D" w:rsidRPr="004C672D">
        <w:rPr>
          <w:iCs/>
          <w:color w:val="000000"/>
        </w:rPr>
        <w:t xml:space="preserve">,      </w:t>
      </w:r>
    </w:p>
    <w:p w14:paraId="684AEE3A" w14:textId="3F099BA3" w:rsidR="004C672D" w:rsidRPr="004C672D" w:rsidRDefault="004C672D" w:rsidP="003F2111">
      <w:pPr>
        <w:jc w:val="both"/>
        <w:rPr>
          <w:iCs/>
          <w:color w:val="000000"/>
        </w:rPr>
      </w:pPr>
      <w:r w:rsidRPr="004C672D">
        <w:rPr>
          <w:iCs/>
        </w:rPr>
        <w:t xml:space="preserve">where </w:t>
      </w: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4C672D">
        <w:rPr>
          <w:iCs/>
          <w:color w:val="000000"/>
        </w:rPr>
        <w:t xml:space="preserve">is the latest received common TA, </w:t>
      </w:r>
      <m:oMath>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4C672D">
        <w:rPr>
          <w:iCs/>
          <w:color w:val="000000"/>
        </w:rPr>
        <w:t xml:space="preserve">is the latest received common TA drift rate and </w:t>
      </w:r>
      <m:oMath>
        <m:r>
          <m:rPr>
            <m:sty m:val="p"/>
          </m:rPr>
          <w:rPr>
            <w:rFonts w:ascii="Cambria Math" w:hAnsi="Cambria Math"/>
            <w:color w:val="000000"/>
          </w:rPr>
          <m:t>Δt</m:t>
        </m:r>
      </m:oMath>
      <w:r w:rsidRPr="004C672D">
        <w:rPr>
          <w:iCs/>
          <w:color w:val="000000"/>
        </w:rPr>
        <w:t xml:space="preserve"> is the time gap between the latest common TA </w:t>
      </w:r>
      <w:r w:rsidR="00362925">
        <w:rPr>
          <w:iCs/>
          <w:color w:val="000000"/>
        </w:rPr>
        <w:t>transmission</w:t>
      </w:r>
      <w:r w:rsidRPr="004C672D">
        <w:rPr>
          <w:iCs/>
          <w:color w:val="000000"/>
        </w:rPr>
        <w:t xml:space="preserve"> and the corresponding uplink transmission</w:t>
      </w:r>
      <w:r w:rsidR="007A7643">
        <w:rPr>
          <w:iCs/>
          <w:color w:val="000000"/>
        </w:rPr>
        <w:t>.</w:t>
      </w:r>
    </w:p>
    <w:p w14:paraId="1494911B" w14:textId="77777777" w:rsidR="006C7AE1" w:rsidRDefault="006C7AE1" w:rsidP="003F2111">
      <w:pPr>
        <w:jc w:val="both"/>
        <w:rPr>
          <w:iCs/>
        </w:rPr>
      </w:pPr>
    </w:p>
    <w:p w14:paraId="5C9C8E33" w14:textId="0E04CB1B" w:rsidR="00DD14FA" w:rsidRDefault="00DD14FA" w:rsidP="003F2111">
      <w:pPr>
        <w:jc w:val="both"/>
        <w:rPr>
          <w:iCs/>
        </w:rPr>
      </w:pPr>
      <w:r w:rsidRPr="00AF7963">
        <w:rPr>
          <w:b/>
          <w:i/>
          <w:u w:val="single"/>
        </w:rPr>
        <w:t xml:space="preserve">Proposal </w:t>
      </w:r>
      <w:r w:rsidR="00E3341C">
        <w:rPr>
          <w:b/>
          <w:i/>
          <w:u w:val="single"/>
        </w:rPr>
        <w:t>3</w:t>
      </w:r>
      <w:r w:rsidRPr="001C381A">
        <w:rPr>
          <w:b/>
          <w:i/>
          <w:u w:val="single"/>
        </w:rPr>
        <w:t>:</w:t>
      </w:r>
      <w:r>
        <w:rPr>
          <w:i/>
        </w:rPr>
        <w:t xml:space="preserve">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530850BC" w14:textId="65B76221" w:rsidR="00DD14FA" w:rsidRDefault="005A3289" w:rsidP="00DD14FA">
      <w:pPr>
        <w:jc w:val="center"/>
        <w:rPr>
          <w:color w:val="000000"/>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 common,RX </m:t>
            </m:r>
          </m:sub>
        </m:sSub>
        <m:r>
          <w:rPr>
            <w:rFonts w:ascii="Cambria Math" w:eastAsia="SimSun" w:hAnsi="Cambria Math"/>
            <w:color w:val="000000"/>
          </w:rPr>
          <m:t>⋅</m:t>
        </m:r>
        <m:r>
          <m:rPr>
            <m:sty m:val="p"/>
          </m:rPr>
          <w:rPr>
            <w:rFonts w:ascii="Cambria Math" w:eastAsia="SimSun" w:hAnsi="Cambria Math"/>
            <w:color w:val="000000"/>
          </w:rPr>
          <m:t>Δ</m:t>
        </m:r>
        <m:r>
          <w:rPr>
            <w:rFonts w:ascii="Cambria Math" w:eastAsia="SimSun" w:hAnsi="Cambria Math"/>
            <w:color w:val="000000"/>
          </w:rPr>
          <m:t>t</m:t>
        </m:r>
      </m:oMath>
      <w:r w:rsidR="00DD14FA">
        <w:rPr>
          <w:color w:val="000000"/>
        </w:rPr>
        <w:t>,</w:t>
      </w:r>
    </w:p>
    <w:p w14:paraId="4101840D" w14:textId="0012634C" w:rsidR="006C7AE1" w:rsidRDefault="00DD14FA" w:rsidP="003F2111">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w:t>
      </w:r>
      <w:r w:rsidR="006C7AE1">
        <w:rPr>
          <w:i/>
          <w:color w:val="000000"/>
        </w:rPr>
        <w:t xml:space="preserve">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sidR="006C7AE1">
        <w:rPr>
          <w:i/>
          <w:color w:val="000000"/>
        </w:rPr>
        <w:t xml:space="preserve">is the latest received common TA drift rate </w:t>
      </w:r>
      <w:r w:rsidR="008877EC">
        <w:rPr>
          <w:i/>
          <w:color w:val="000000"/>
        </w:rPr>
        <w:t xml:space="preserve">(if indicated) </w:t>
      </w:r>
      <w:r w:rsidR="006C7AE1">
        <w:rPr>
          <w:i/>
          <w:color w:val="000000"/>
        </w:rPr>
        <w:t xml:space="preserve">and </w:t>
      </w:r>
      <m:oMath>
        <m:r>
          <w:rPr>
            <w:rFonts w:ascii="Cambria Math" w:hAnsi="Cambria Math"/>
            <w:color w:val="000000"/>
          </w:rPr>
          <m:t>Δt</m:t>
        </m:r>
      </m:oMath>
      <w:r w:rsidRPr="00DD14FA">
        <w:rPr>
          <w:i/>
          <w:color w:val="000000"/>
        </w:rPr>
        <w:t xml:space="preserve"> is the time gap between the latest common TA </w:t>
      </w:r>
      <w:r w:rsidR="00362925">
        <w:rPr>
          <w:i/>
          <w:color w:val="000000"/>
        </w:rPr>
        <w:t>transmission</w:t>
      </w:r>
      <w:r w:rsidRPr="00DD14FA">
        <w:rPr>
          <w:i/>
          <w:color w:val="000000"/>
        </w:rPr>
        <w:t xml:space="preserve"> and the corresponding uplink transmission</w:t>
      </w:r>
      <w:r w:rsidR="007A7643">
        <w:rPr>
          <w:i/>
          <w:color w:val="000000"/>
        </w:rPr>
        <w:t>.</w:t>
      </w:r>
    </w:p>
    <w:p w14:paraId="7CBFE3DC" w14:textId="77777777" w:rsidR="007B7B6A" w:rsidRPr="006C7AE1" w:rsidRDefault="007B7B6A" w:rsidP="003F2111">
      <w:pPr>
        <w:jc w:val="both"/>
        <w:rPr>
          <w:i/>
          <w:color w:val="000000"/>
        </w:rPr>
      </w:pPr>
    </w:p>
    <w:p w14:paraId="5D677D5F" w14:textId="77777777" w:rsidR="004826BA" w:rsidRDefault="004826BA" w:rsidP="004826BA">
      <w:pPr>
        <w:pStyle w:val="Heading2"/>
        <w:jc w:val="both"/>
      </w:pPr>
      <w:r w:rsidRPr="001C7AC8">
        <w:t xml:space="preserve">TA </w:t>
      </w:r>
      <w:r>
        <w:t>margin</w:t>
      </w:r>
    </w:p>
    <w:p w14:paraId="4899ED06" w14:textId="3CE1903C" w:rsidR="006C7AE1" w:rsidRDefault="004826BA" w:rsidP="003F2111">
      <w:pPr>
        <w:jc w:val="both"/>
        <w:rPr>
          <w:bCs/>
          <w:iCs/>
        </w:rPr>
      </w:pPr>
      <w:r>
        <w:rPr>
          <w:bCs/>
          <w:iCs/>
        </w:rPr>
        <w:t xml:space="preserve">When UE estimates the UE specific TA, an estimation error may exist, e.g., due to the inaccuracy of UE’s GNSS location or changed satellite position. This estimation error may lead to the PRACH signal received at the reference point earlier than the scheduled PRACH occasion, resulting in interference. Whether and how the TA margin is used to address this issue has been discussed in RAN1 #104-e meeting. </w:t>
      </w:r>
    </w:p>
    <w:p w14:paraId="346726AA" w14:textId="74430B91" w:rsidR="004826BA" w:rsidRDefault="004826BA" w:rsidP="003F2111">
      <w:pPr>
        <w:jc w:val="both"/>
        <w:rPr>
          <w:bCs/>
          <w:iCs/>
        </w:rPr>
      </w:pPr>
    </w:p>
    <w:p w14:paraId="5D9CD819" w14:textId="13552EE7" w:rsidR="004826BA" w:rsidRDefault="004826BA" w:rsidP="003F2111">
      <w:pPr>
        <w:jc w:val="both"/>
        <w:rPr>
          <w:bCs/>
          <w:iCs/>
        </w:rPr>
      </w:pPr>
      <w:r>
        <w:rPr>
          <w:bCs/>
          <w:iCs/>
        </w:rPr>
        <w:t>It was agreed</w:t>
      </w:r>
      <w:r w:rsidR="00E3341C">
        <w:rPr>
          <w:bCs/>
          <w:iCs/>
        </w:rPr>
        <w:t xml:space="preserve"> </w:t>
      </w:r>
      <w:r w:rsidR="00E3341C">
        <w:rPr>
          <w:bCs/>
          <w:iCs/>
        </w:rPr>
        <w:fldChar w:fldCharType="begin"/>
      </w:r>
      <w:r w:rsidR="00E3341C">
        <w:rPr>
          <w:bCs/>
          <w:iCs/>
        </w:rPr>
        <w:instrText xml:space="preserve"> REF _Ref70328290 \r \h </w:instrText>
      </w:r>
      <w:r w:rsidR="00E3341C">
        <w:rPr>
          <w:bCs/>
          <w:iCs/>
        </w:rPr>
      </w:r>
      <w:r w:rsidR="00E3341C">
        <w:rPr>
          <w:bCs/>
          <w:iCs/>
        </w:rPr>
        <w:fldChar w:fldCharType="separate"/>
      </w:r>
      <w:r w:rsidR="009B4A8C">
        <w:rPr>
          <w:bCs/>
          <w:iCs/>
        </w:rPr>
        <w:t>[5]</w:t>
      </w:r>
      <w:r w:rsidR="00E3341C">
        <w:rPr>
          <w:bCs/>
          <w:iCs/>
        </w:rPr>
        <w:fldChar w:fldCharType="end"/>
      </w:r>
      <w:r>
        <w:rPr>
          <w:bCs/>
          <w:iCs/>
        </w:rPr>
        <w:t xml:space="preserve"> that RAN1 asks RAN4 to indicate the NTN UL time synchronization requirement for initial access. On the other hand, RAN4 </w:t>
      </w:r>
      <w:r w:rsidR="007070AB">
        <w:rPr>
          <w:bCs/>
          <w:iCs/>
        </w:rPr>
        <w:t>is</w:t>
      </w:r>
      <w:r>
        <w:rPr>
          <w:bCs/>
          <w:iCs/>
        </w:rPr>
        <w:t xml:space="preserve"> defin</w:t>
      </w:r>
      <w:r w:rsidR="007070AB">
        <w:rPr>
          <w:bCs/>
          <w:iCs/>
        </w:rPr>
        <w:t>ing</w:t>
      </w:r>
      <w:r>
        <w:rPr>
          <w:bCs/>
          <w:iCs/>
        </w:rPr>
        <w:t xml:space="preserve"> the requirements for UE specific TA estimation accuracy, where several options were listed on how to capture the UE specific TA estimation accuracy (e.g., counted into UE transmit timing error requirement, counted into the TA adjustment accuracy requirement, or defined as a separate accuracy requirement). With the specifications in RAN4, </w:t>
      </w:r>
      <w:r w:rsidR="007B7B6A">
        <w:rPr>
          <w:bCs/>
          <w:iCs/>
        </w:rPr>
        <w:t>it is likely that no specification efforts in RAN1 are needed. Therefore, we have the following proposal.</w:t>
      </w:r>
    </w:p>
    <w:p w14:paraId="5BC15EEB" w14:textId="77777777" w:rsidR="007B7B6A" w:rsidRDefault="007B7B6A" w:rsidP="003F2111">
      <w:pPr>
        <w:jc w:val="both"/>
        <w:rPr>
          <w:bCs/>
          <w:iCs/>
        </w:rPr>
      </w:pPr>
    </w:p>
    <w:p w14:paraId="30B9A150" w14:textId="5CD71A1C" w:rsidR="004826BA" w:rsidRPr="00E642A4" w:rsidRDefault="004826BA" w:rsidP="004826BA">
      <w:pPr>
        <w:jc w:val="both"/>
        <w:rPr>
          <w:sz w:val="22"/>
          <w:szCs w:val="22"/>
          <w:lang w:eastAsia="x-none"/>
        </w:rPr>
      </w:pPr>
      <w:r w:rsidRPr="00AF7963">
        <w:rPr>
          <w:b/>
          <w:i/>
          <w:u w:val="single"/>
        </w:rPr>
        <w:t xml:space="preserve">Proposal </w:t>
      </w:r>
      <w:r w:rsidR="00E3341C">
        <w:rPr>
          <w:b/>
          <w:i/>
          <w:u w:val="single"/>
        </w:rPr>
        <w:t>4</w:t>
      </w:r>
      <w:r w:rsidRPr="00AF7963">
        <w:rPr>
          <w:b/>
          <w:i/>
          <w:u w:val="single"/>
        </w:rPr>
        <w:t>:</w:t>
      </w:r>
      <w:r w:rsidRPr="00AF7963">
        <w:rPr>
          <w:i/>
        </w:rPr>
        <w:t xml:space="preserve"> </w:t>
      </w:r>
      <w:r w:rsidR="007B7B6A">
        <w:rPr>
          <w:i/>
        </w:rPr>
        <w:t xml:space="preserve">RAN1 to determine the </w:t>
      </w:r>
      <w:r w:rsidR="00962AFE">
        <w:rPr>
          <w:i/>
        </w:rPr>
        <w:t>necessity</w:t>
      </w:r>
      <w:r w:rsidR="007B7B6A">
        <w:rPr>
          <w:i/>
        </w:rPr>
        <w:t xml:space="preserve"> of specifying TA margin, depending on RAN4’s conclusion. </w:t>
      </w:r>
    </w:p>
    <w:p w14:paraId="5F1FD0A4" w14:textId="77777777" w:rsidR="007B7B6A" w:rsidRDefault="007B7B6A" w:rsidP="003F2111">
      <w:pPr>
        <w:jc w:val="both"/>
        <w:rPr>
          <w:iCs/>
        </w:rPr>
      </w:pPr>
    </w:p>
    <w:p w14:paraId="23C49675" w14:textId="6F3338EE" w:rsidR="00D13935" w:rsidRDefault="00D13935" w:rsidP="00D13935">
      <w:pPr>
        <w:pStyle w:val="Heading2"/>
        <w:jc w:val="both"/>
      </w:pPr>
      <w:r>
        <w:t>TA maintenance</w:t>
      </w:r>
    </w:p>
    <w:p w14:paraId="73F65A8B" w14:textId="3C756EEE" w:rsidR="00EF62BB" w:rsidRDefault="00EF62BB" w:rsidP="00EF62BB">
      <w:pPr>
        <w:jc w:val="both"/>
      </w:pPr>
      <w:r>
        <w:t>It was agreed</w:t>
      </w:r>
      <w:r w:rsidR="009B4A8C">
        <w:t xml:space="preserve"> </w:t>
      </w:r>
      <w:r w:rsidR="009B4A8C">
        <w:fldChar w:fldCharType="begin"/>
      </w:r>
      <w:r w:rsidR="009B4A8C">
        <w:instrText xml:space="preserve"> REF _Ref77950860 \r \h </w:instrText>
      </w:r>
      <w:r w:rsidR="009B4A8C">
        <w:fldChar w:fldCharType="separate"/>
      </w:r>
      <w:r w:rsidR="009B4A8C">
        <w:t>[4]</w:t>
      </w:r>
      <w:r w:rsidR="009B4A8C">
        <w:fldChar w:fldCharType="end"/>
      </w:r>
      <w:r w:rsidR="009B4A8C">
        <w:t xml:space="preserve"> </w:t>
      </w:r>
      <w:r>
        <w:t>that TA applied by UE is</w:t>
      </w:r>
    </w:p>
    <w:p w14:paraId="4CFC826D" w14:textId="77777777" w:rsidR="00EF62BB" w:rsidRPr="004A6CB1" w:rsidRDefault="00EF62BB" w:rsidP="00EF62BB">
      <w:pPr>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r>
        <w:rPr>
          <w:rFonts w:eastAsia="SimSun"/>
          <w:color w:val="000000"/>
        </w:rPr>
        <w:t>,</w:t>
      </w:r>
    </w:p>
    <w:p w14:paraId="0E247A39" w14:textId="77777777" w:rsidR="00EF62BB" w:rsidRDefault="00EF62BB" w:rsidP="00EF62BB">
      <w:pPr>
        <w:jc w:val="both"/>
        <w:rPr>
          <w:i/>
        </w:rPr>
      </w:pPr>
      <w:r>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C16B3F">
        <w:rPr>
          <w:iCs/>
        </w:rPr>
        <w:t xml:space="preserve"> is 0 for PRACH and updated based on TA command field in RAR or MAC CE TA comm</w:t>
      </w:r>
      <w:r>
        <w:rPr>
          <w:iCs/>
        </w:rPr>
        <w:t>a</w:t>
      </w:r>
      <w:r w:rsidRPr="00C16B3F">
        <w:rPr>
          <w:iCs/>
        </w:rPr>
        <w:t xml:space="preserve">nd. It is open on the details of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Pr>
          <w:iCs/>
        </w:rPr>
        <w:t xml:space="preserve"> update and accumulation. </w:t>
      </w:r>
    </w:p>
    <w:p w14:paraId="2A6FAD52" w14:textId="77777777" w:rsidR="00EF62BB" w:rsidRDefault="00EF62BB" w:rsidP="00D13935">
      <w:pPr>
        <w:jc w:val="both"/>
      </w:pPr>
    </w:p>
    <w:p w14:paraId="7724EF79" w14:textId="583A3C10" w:rsidR="00EB3B0E" w:rsidRDefault="008877EC" w:rsidP="00D13935">
      <w:pPr>
        <w:jc w:val="both"/>
      </w:pPr>
      <w:r>
        <w:lastRenderedPageBreak/>
        <w:t>In RRC_CONNECTED state, a UE appl</w:t>
      </w:r>
      <w:r w:rsidR="00FE5F20">
        <w:t>ying</w:t>
      </w:r>
      <w:r>
        <w:t xml:space="preserve"> the combination of both open and closed control loops is supported for TA maintenance. The TA closed loop refers that UE updates its TA based on TA command in MAC CE.</w:t>
      </w:r>
      <w:r w:rsidRPr="008877EC">
        <w:t xml:space="preserve"> </w:t>
      </w:r>
      <w:r>
        <w:t>The TA open loop refers that UE autonomously estimates/pre-compensates TA on the service link, as well as UE potentially autonomously calculates/pre-compensates the TA on the feeder link based on the indicated common TA drift rate</w:t>
      </w:r>
      <w:r w:rsidR="00970CFF">
        <w:t xml:space="preserve"> if any</w:t>
      </w:r>
      <w:r>
        <w:t>.</w:t>
      </w:r>
    </w:p>
    <w:p w14:paraId="3B53CE86" w14:textId="4EFEA485" w:rsidR="00435563" w:rsidRDefault="00435563" w:rsidP="00D13935">
      <w:pPr>
        <w:jc w:val="both"/>
      </w:pPr>
    </w:p>
    <w:p w14:paraId="19FA5723" w14:textId="33A1AA63" w:rsidR="00435563" w:rsidRDefault="00435563" w:rsidP="00D13935">
      <w:pPr>
        <w:jc w:val="both"/>
      </w:pPr>
      <w:r>
        <w:t>There are multiple sources resulting in uplink timing error in NTN, including UE location error, satellite ephemeris error, feeder link error, UE downlink synchronization error and clock jitter, etc. Some sources are common to all UEs (e.g., feeder link error), while other sources are UE specific, (e.g., UE location error).</w:t>
      </w:r>
      <w:r w:rsidR="00D55B75">
        <w:t xml:space="preserve"> </w:t>
      </w:r>
      <w:r w:rsidR="00C16B3F">
        <w:t>I</w:t>
      </w:r>
      <w:r w:rsidR="00D55B75">
        <w:t xml:space="preserve">t is </w:t>
      </w:r>
      <w:r w:rsidR="00C16B3F">
        <w:t>nature</w:t>
      </w:r>
      <w:r w:rsidR="00D55B75">
        <w:t xml:space="preserve"> to apply TA command MAC CE</w:t>
      </w:r>
      <w:r w:rsidR="00C16B3F">
        <w:t xml:space="preserve"> to correct the UE specific timing error. </w:t>
      </w:r>
    </w:p>
    <w:p w14:paraId="7C83681B" w14:textId="77777777" w:rsidR="00D55B75" w:rsidRDefault="00D55B75" w:rsidP="00D13935">
      <w:pPr>
        <w:jc w:val="both"/>
      </w:pPr>
    </w:p>
    <w:p w14:paraId="0A15A2A9" w14:textId="6F8979F2" w:rsidR="00C16B3F" w:rsidRDefault="00435563" w:rsidP="00435563">
      <w:pPr>
        <w:jc w:val="both"/>
      </w:pPr>
      <w:r>
        <w:t xml:space="preserve">In the scenario of moving satellite, </w:t>
      </w:r>
      <w:r w:rsidR="00C16B3F">
        <w:t>it is possible that UE</w:t>
      </w:r>
      <w:r w:rsidR="00292418">
        <w:t>’s</w:t>
      </w:r>
      <w:r w:rsidR="00C16B3F">
        <w:t xml:space="preserve"> timing error varies </w:t>
      </w:r>
      <w:r w:rsidR="00EF62BB">
        <w:t>at</w:t>
      </w:r>
      <w:r w:rsidR="001C44E7">
        <w:t xml:space="preserve"> a</w:t>
      </w:r>
      <w:r w:rsidR="00C16B3F">
        <w:t xml:space="preserve"> certain rate</w:t>
      </w:r>
      <w:r w:rsidR="00292418">
        <w:t>, e.g., when common TA drift rate is not broadcasted</w:t>
      </w:r>
      <w:r w:rsidR="00C16B3F">
        <w:t xml:space="preserve">. </w:t>
      </w:r>
      <w:r>
        <w:t xml:space="preserve">Considering the transmission delay of MAC CE, the TA update rate resulting from TA command MAC CE is not fast enough to reach the timing drift rate. Furthermore, the signaling overhead of frequent TA command MAC CE is large. </w:t>
      </w:r>
      <w:r w:rsidR="00C16B3F">
        <w:t xml:space="preserve">Hence, it </w:t>
      </w:r>
      <w:r w:rsidR="001C44E7">
        <w:t>is worth to check whether or not</w:t>
      </w:r>
      <w:r w:rsidR="00C16B3F">
        <w:t xml:space="preserve"> introduc</w:t>
      </w:r>
      <w:r w:rsidR="001C44E7">
        <w:t>ing</w:t>
      </w:r>
      <w:r w:rsidR="00C16B3F">
        <w:t xml:space="preserve"> the TA drift rate in TA command MAC CE. </w:t>
      </w:r>
    </w:p>
    <w:p w14:paraId="50C1A8B0" w14:textId="77777777" w:rsidR="001C44E7" w:rsidRDefault="001C44E7" w:rsidP="00435563">
      <w:pPr>
        <w:jc w:val="both"/>
      </w:pPr>
    </w:p>
    <w:p w14:paraId="49078CAE" w14:textId="786289EA" w:rsidR="001C44E7" w:rsidRDefault="001C44E7" w:rsidP="001C44E7">
      <w:pPr>
        <w:jc w:val="both"/>
        <w:rPr>
          <w:i/>
        </w:rPr>
      </w:pPr>
      <w:r w:rsidRPr="00AF7963">
        <w:rPr>
          <w:b/>
          <w:i/>
          <w:u w:val="single"/>
        </w:rPr>
        <w:t xml:space="preserve">Proposal </w:t>
      </w:r>
      <w:r w:rsidR="00EE259C">
        <w:rPr>
          <w:b/>
          <w:i/>
          <w:u w:val="single"/>
        </w:rPr>
        <w:t>5</w:t>
      </w:r>
      <w:r w:rsidRPr="001C381A">
        <w:rPr>
          <w:b/>
          <w:i/>
          <w:u w:val="single"/>
        </w:rPr>
        <w:t>:</w:t>
      </w:r>
      <w:r>
        <w:rPr>
          <w:i/>
        </w:rPr>
        <w:t xml:space="preserve"> RAN1 to study whether or not introducing the TA drift rate in TA command MAC CE.</w:t>
      </w:r>
    </w:p>
    <w:p w14:paraId="2949C377" w14:textId="77777777" w:rsidR="001C44E7" w:rsidRDefault="001C44E7" w:rsidP="001C44E7">
      <w:pPr>
        <w:jc w:val="both"/>
      </w:pPr>
    </w:p>
    <w:p w14:paraId="33C41844" w14:textId="289A7858" w:rsidR="00A215BC" w:rsidRPr="00C2419C" w:rsidRDefault="00FA539B" w:rsidP="00A215BC">
      <w:pPr>
        <w:pStyle w:val="Heading2"/>
        <w:jc w:val="both"/>
      </w:pPr>
      <w:r>
        <w:t>Uplink frequency synchronization</w:t>
      </w:r>
    </w:p>
    <w:p w14:paraId="6CE2E131" w14:textId="11B0BA2B" w:rsidR="00C2419C" w:rsidRDefault="00C2419C" w:rsidP="00C2419C">
      <w:pPr>
        <w:jc w:val="both"/>
        <w:rPr>
          <w:rFonts w:eastAsia="SimSun"/>
          <w:color w:val="000000"/>
          <w:lang w:val="en-GB"/>
        </w:rPr>
      </w:pPr>
      <w:r>
        <w:rPr>
          <w:rFonts w:eastAsia="SimSun"/>
          <w:color w:val="000000"/>
          <w:lang w:val="en-GB"/>
        </w:rPr>
        <w:t xml:space="preserve">In order to reduce UE complexity by minimizing its initial SSB searching efforts, it is preferred that gNB pre-compensates the frequency offset of SSB as well as other downlink signals. </w:t>
      </w:r>
    </w:p>
    <w:p w14:paraId="51A4316C" w14:textId="77777777" w:rsidR="00C2419C" w:rsidRDefault="00C2419C" w:rsidP="00C2419C">
      <w:pPr>
        <w:jc w:val="both"/>
        <w:rPr>
          <w:rFonts w:eastAsia="SimSun"/>
          <w:color w:val="000000"/>
          <w:lang w:val="en-GB"/>
        </w:rPr>
      </w:pPr>
    </w:p>
    <w:p w14:paraId="3E49F1E7" w14:textId="59DA526A" w:rsidR="008C38E6" w:rsidRPr="00D0326E" w:rsidRDefault="00C2419C" w:rsidP="00C2419C">
      <w:pPr>
        <w:jc w:val="both"/>
        <w:rPr>
          <w:rFonts w:eastAsia="SimSun"/>
          <w:color w:val="000000"/>
        </w:rPr>
      </w:pPr>
      <w:r>
        <w:rPr>
          <w:rFonts w:eastAsia="SimSun"/>
          <w:color w:val="000000"/>
          <w:lang w:val="en-GB"/>
        </w:rPr>
        <w:t>The gNB pre-compensated frequency offset is for the service link Doppler shift with respect to a reference point in a cell coverage (e.g., cell center). Th</w:t>
      </w:r>
      <w:r w:rsidR="008E12DF">
        <w:rPr>
          <w:rFonts w:eastAsia="SimSun"/>
          <w:color w:val="000000"/>
          <w:lang w:val="en-GB"/>
        </w:rPr>
        <w:t>is</w:t>
      </w:r>
      <w:r>
        <w:rPr>
          <w:rFonts w:eastAsia="SimSun"/>
          <w:color w:val="000000"/>
          <w:lang w:val="en-GB"/>
        </w:rPr>
        <w:t xml:space="preserve"> frequency offset should be broadcasted by gNB to facilitate UE’s calculation of </w:t>
      </w:r>
      <w:r w:rsidR="002D2514">
        <w:rPr>
          <w:rFonts w:eastAsia="SimSun"/>
          <w:color w:val="000000"/>
          <w:lang w:val="en-GB"/>
        </w:rPr>
        <w:t xml:space="preserve">nominal downlink frequency. This nominal downlink frequency is used to determine UE’s nominal uplink frequency based on a duplex frequency distance. </w:t>
      </w:r>
      <w:r w:rsidR="008C38E6">
        <w:rPr>
          <w:rFonts w:eastAsia="SimSun"/>
          <w:color w:val="000000"/>
          <w:lang w:val="en-GB"/>
        </w:rPr>
        <w:t>The UE’s calculation of nominal downlink frequency depends on received downlink signal frequency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oMath>
      <w:r w:rsidR="008C38E6">
        <w:rPr>
          <w:rFonts w:eastAsia="SimSun"/>
          <w:color w:val="000000"/>
          <w:lang w:val="en-GB"/>
        </w:rPr>
        <w:t>), network indicated frequency offset which is pre-compensated in downlink transmissions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oMath>
      <w:r w:rsidR="008C38E6">
        <w:rPr>
          <w:rFonts w:eastAsia="SimSun"/>
          <w:color w:val="000000"/>
          <w:lang w:val="en-GB"/>
        </w:rPr>
        <w:t>), and UE’s estimated UE specific service link Doppler shift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D,DL-UE</m:t>
            </m:r>
          </m:sub>
        </m:sSub>
        <m:r>
          <w:rPr>
            <w:rFonts w:ascii="Cambria Math" w:eastAsia="SimSun" w:hAnsi="Cambria Math"/>
            <w:color w:val="000000"/>
            <w:lang w:val="en-GB"/>
          </w:rPr>
          <m:t xml:space="preserve"> </m:t>
        </m:r>
      </m:oMath>
      <w:r w:rsidR="008C38E6">
        <w:rPr>
          <w:rFonts w:eastAsia="SimSun"/>
          <w:color w:val="000000"/>
          <w:lang w:val="en-GB"/>
        </w:rPr>
        <w:t xml:space="preserve">) based on UE’s GNSS position and satellite ephemeris. Specifically, the downlink nominal frequency is equal to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DL-UE</m:t>
            </m:r>
          </m:sub>
        </m:sSub>
      </m:oMath>
      <w:r w:rsidR="008C38E6">
        <w:rPr>
          <w:rFonts w:eastAsia="SimSun"/>
          <w:color w:val="000000"/>
          <w:lang w:val="en-GB"/>
        </w:rPr>
        <w:t>.</w:t>
      </w:r>
    </w:p>
    <w:p w14:paraId="1FDDEA71" w14:textId="1E721310" w:rsidR="00C2419C" w:rsidRPr="002C6320" w:rsidRDefault="00C2419C" w:rsidP="00A215BC">
      <w:pPr>
        <w:jc w:val="both"/>
        <w:rPr>
          <w:rFonts w:eastAsia="SimSun"/>
          <w:color w:val="000000"/>
        </w:rPr>
      </w:pPr>
    </w:p>
    <w:p w14:paraId="796EEDB9" w14:textId="1607503C" w:rsidR="00C2419C" w:rsidRDefault="00C2419C" w:rsidP="00C2419C">
      <w:pPr>
        <w:jc w:val="both"/>
        <w:rPr>
          <w:i/>
        </w:rPr>
      </w:pPr>
      <w:r w:rsidRPr="00CE2021">
        <w:rPr>
          <w:b/>
          <w:i/>
          <w:u w:val="single"/>
        </w:rPr>
        <w:t xml:space="preserve">Proposal </w:t>
      </w:r>
      <w:r w:rsidR="00EE259C">
        <w:rPr>
          <w:b/>
          <w:i/>
          <w:u w:val="single"/>
        </w:rPr>
        <w:t>6</w:t>
      </w:r>
      <w:r w:rsidRPr="00CE2021">
        <w:rPr>
          <w:b/>
          <w:i/>
          <w:u w:val="single"/>
        </w:rPr>
        <w:t>:</w:t>
      </w:r>
      <w:r w:rsidRPr="00CE2021">
        <w:rPr>
          <w:i/>
        </w:rPr>
        <w:t xml:space="preserve"> </w:t>
      </w:r>
      <w:r w:rsidR="008C38E6">
        <w:rPr>
          <w:i/>
        </w:rPr>
        <w:t>In downlink transmissions, s</w:t>
      </w:r>
      <w:r w:rsidRPr="00CE2021">
        <w:rPr>
          <w:i/>
        </w:rPr>
        <w:t xml:space="preserve">upport gNB pre-compensates and </w:t>
      </w:r>
      <w:r w:rsidR="00DB230A" w:rsidRPr="00CE2021">
        <w:rPr>
          <w:i/>
        </w:rPr>
        <w:t>indicates</w:t>
      </w:r>
      <w:r w:rsidRPr="00CE2021">
        <w:rPr>
          <w:i/>
        </w:rPr>
        <w:t xml:space="preserve"> a frequency offset for the service link Doppler shift with respect to a reference point.</w:t>
      </w:r>
    </w:p>
    <w:p w14:paraId="1097FEC5" w14:textId="77777777" w:rsidR="00CE59DD" w:rsidRPr="00C2419C" w:rsidRDefault="00CE59DD" w:rsidP="00A215BC">
      <w:pPr>
        <w:jc w:val="both"/>
        <w:rPr>
          <w:rFonts w:eastAsia="SimSun"/>
          <w:color w:val="000000"/>
        </w:rPr>
      </w:pPr>
    </w:p>
    <w:p w14:paraId="0CABEA6F" w14:textId="5EE61727" w:rsidR="00CE59DD" w:rsidRPr="00AF7CFF" w:rsidRDefault="00CE59DD" w:rsidP="00CE59DD">
      <w:pPr>
        <w:jc w:val="both"/>
        <w:rPr>
          <w:rFonts w:eastAsia="SimSun"/>
          <w:color w:val="000000"/>
          <w:lang w:val="en-GB"/>
        </w:rPr>
      </w:pPr>
      <w:r w:rsidRPr="00AF7CFF">
        <w:rPr>
          <w:rFonts w:eastAsia="SimSun"/>
          <w:color w:val="000000"/>
          <w:lang w:val="en-GB"/>
        </w:rPr>
        <w:t xml:space="preserve">It was agreed </w:t>
      </w:r>
      <w:r w:rsidRPr="00AF7CFF">
        <w:rPr>
          <w:rFonts w:eastAsia="SimSun"/>
          <w:color w:val="000000"/>
          <w:lang w:val="en-GB"/>
        </w:rPr>
        <w:fldChar w:fldCharType="begin"/>
      </w:r>
      <w:r w:rsidRPr="00AF7CFF">
        <w:rPr>
          <w:rFonts w:eastAsia="SimSun"/>
          <w:color w:val="000000"/>
          <w:lang w:val="en-GB"/>
        </w:rPr>
        <w:instrText xml:space="preserve"> REF _Ref65074133 \r \h </w:instrText>
      </w:r>
      <w:r w:rsidR="00156D09" w:rsidRPr="00AF7CFF">
        <w:rPr>
          <w:rFonts w:eastAsia="SimSun"/>
          <w:color w:val="000000"/>
          <w:lang w:val="en-GB"/>
        </w:rPr>
        <w:instrText xml:space="preserve"> \* MERGEFORMAT </w:instrText>
      </w:r>
      <w:r w:rsidRPr="00AF7CFF">
        <w:rPr>
          <w:rFonts w:eastAsia="SimSun"/>
          <w:color w:val="000000"/>
          <w:lang w:val="en-GB"/>
        </w:rPr>
      </w:r>
      <w:r w:rsidRPr="00AF7CFF">
        <w:rPr>
          <w:rFonts w:eastAsia="SimSun"/>
          <w:color w:val="000000"/>
          <w:lang w:val="en-GB"/>
        </w:rPr>
        <w:fldChar w:fldCharType="separate"/>
      </w:r>
      <w:r w:rsidR="009B4A8C">
        <w:rPr>
          <w:rFonts w:eastAsia="SimSun"/>
          <w:color w:val="000000"/>
          <w:lang w:val="en-GB"/>
        </w:rPr>
        <w:t>[6]</w:t>
      </w:r>
      <w:r w:rsidRPr="00AF7CFF">
        <w:rPr>
          <w:rFonts w:eastAsia="SimSun"/>
          <w:color w:val="000000"/>
          <w:lang w:val="en-GB"/>
        </w:rPr>
        <w:fldChar w:fldCharType="end"/>
      </w:r>
      <w:r w:rsidRPr="00AF7CFF">
        <w:rPr>
          <w:rFonts w:eastAsia="SimSun"/>
          <w:color w:val="000000"/>
          <w:lang w:val="en-GB"/>
        </w:rPr>
        <w:t xml:space="preserve"> that a UE is capable of calculating the frequency pre-compensation to count</w:t>
      </w:r>
      <w:r w:rsidR="008C38E6" w:rsidRPr="00AF7CFF">
        <w:rPr>
          <w:rFonts w:eastAsia="SimSun"/>
          <w:color w:val="000000"/>
          <w:lang w:val="en-GB"/>
        </w:rPr>
        <w:t xml:space="preserve"> for</w:t>
      </w:r>
      <w:r w:rsidRPr="00AF7CFF">
        <w:rPr>
          <w:rFonts w:eastAsia="SimSun"/>
          <w:color w:val="000000"/>
          <w:lang w:val="en-GB"/>
        </w:rPr>
        <w:t xml:space="preserve"> the Doppler shift on the service link. Besides the Doppler shift on the service link, there are some discussions </w:t>
      </w:r>
      <w:r w:rsidR="008C38E6" w:rsidRPr="00AF7CFF">
        <w:rPr>
          <w:rFonts w:eastAsia="SimSun"/>
          <w:color w:val="000000"/>
          <w:lang w:val="en-GB"/>
        </w:rPr>
        <w:t xml:space="preserve">on </w:t>
      </w:r>
      <w:r w:rsidRPr="00AF7CFF">
        <w:rPr>
          <w:rFonts w:eastAsia="SimSun"/>
          <w:color w:val="000000"/>
          <w:lang w:val="en-GB"/>
        </w:rPr>
        <w:t>whether UE also pre-compensate</w:t>
      </w:r>
      <w:r w:rsidR="008C38E6" w:rsidRPr="00AF7CFF">
        <w:rPr>
          <w:rFonts w:eastAsia="SimSun"/>
          <w:color w:val="000000"/>
          <w:lang w:val="en-GB"/>
        </w:rPr>
        <w:t>s</w:t>
      </w:r>
      <w:r w:rsidRPr="00AF7CFF">
        <w:rPr>
          <w:rFonts w:eastAsia="SimSun"/>
          <w:color w:val="000000"/>
          <w:lang w:val="en-GB"/>
        </w:rPr>
        <w:t xml:space="preserve"> additional frequency offset indicated by the network. This frequency offset may be the Doppler shift on the feeder link</w:t>
      </w:r>
      <w:r w:rsidR="0094091C" w:rsidRPr="00AF7CFF">
        <w:rPr>
          <w:rFonts w:eastAsia="SimSun"/>
          <w:color w:val="000000"/>
          <w:lang w:val="en-GB"/>
        </w:rPr>
        <w:t>. However, the necessity of indicating this uplink transmission frequency offset is unclear</w:t>
      </w:r>
      <w:r w:rsidR="00156D09" w:rsidRPr="00AF7CFF">
        <w:rPr>
          <w:rFonts w:eastAsia="SimSun"/>
          <w:color w:val="000000"/>
          <w:lang w:val="en-GB"/>
        </w:rPr>
        <w:t>, especially with the working assumption that the Doppler shift on the feeder link is transparent to UE</w:t>
      </w:r>
      <w:r w:rsidR="0094091C" w:rsidRPr="00AF7CFF">
        <w:rPr>
          <w:rFonts w:eastAsia="SimSun"/>
          <w:color w:val="000000"/>
          <w:lang w:val="en-GB"/>
        </w:rPr>
        <w:t>.</w:t>
      </w:r>
      <w:r w:rsidR="00AF7CFF">
        <w:rPr>
          <w:rFonts w:eastAsia="SimSun"/>
          <w:color w:val="000000"/>
          <w:lang w:val="en-GB"/>
        </w:rPr>
        <w:t xml:space="preserve"> Hence, we have the following proposal. </w:t>
      </w:r>
    </w:p>
    <w:p w14:paraId="7ECACCA5" w14:textId="77777777" w:rsidR="00CE59DD" w:rsidRPr="00AF7CFF" w:rsidRDefault="00CE59DD" w:rsidP="00CE59DD">
      <w:pPr>
        <w:jc w:val="both"/>
        <w:rPr>
          <w:b/>
          <w:i/>
          <w:u w:val="single"/>
          <w:lang w:val="en-GB"/>
        </w:rPr>
      </w:pPr>
    </w:p>
    <w:p w14:paraId="3807BA4E" w14:textId="0CB8E458" w:rsidR="00CE59DD" w:rsidRDefault="00CE59DD" w:rsidP="00CE59DD">
      <w:pPr>
        <w:jc w:val="both"/>
        <w:rPr>
          <w:i/>
        </w:rPr>
      </w:pPr>
      <w:r w:rsidRPr="00AF7CFF">
        <w:rPr>
          <w:b/>
          <w:i/>
          <w:u w:val="single"/>
        </w:rPr>
        <w:t xml:space="preserve">Proposal </w:t>
      </w:r>
      <w:r w:rsidR="00EE259C">
        <w:rPr>
          <w:b/>
          <w:i/>
          <w:u w:val="single"/>
        </w:rPr>
        <w:t>7</w:t>
      </w:r>
      <w:r w:rsidRPr="00AF7CFF">
        <w:rPr>
          <w:b/>
          <w:i/>
          <w:u w:val="single"/>
        </w:rPr>
        <w:t>:</w:t>
      </w:r>
      <w:r w:rsidRPr="00AF7CFF">
        <w:rPr>
          <w:i/>
        </w:rPr>
        <w:t xml:space="preserve"> UE </w:t>
      </w:r>
      <w:r w:rsidR="0094091C" w:rsidRPr="00AF7CFF">
        <w:rPr>
          <w:i/>
        </w:rPr>
        <w:t xml:space="preserve">only </w:t>
      </w:r>
      <w:r w:rsidRPr="00AF7CFF">
        <w:rPr>
          <w:i/>
        </w:rPr>
        <w:t xml:space="preserve">pre-compensates </w:t>
      </w:r>
      <w:r w:rsidR="0094091C" w:rsidRPr="00AF7CFF">
        <w:rPr>
          <w:i/>
        </w:rPr>
        <w:t>its estimated</w:t>
      </w:r>
      <w:r w:rsidRPr="00AF7CFF">
        <w:rPr>
          <w:i/>
        </w:rPr>
        <w:t xml:space="preserve"> Doppler shift on the service link</w:t>
      </w:r>
      <w:r w:rsidR="0094091C" w:rsidRPr="00AF7CFF">
        <w:rPr>
          <w:i/>
        </w:rPr>
        <w:t xml:space="preserve"> in its uplink transmissions, and additional network indication of frequency offset to be pre-compensated by UE is not supported.</w:t>
      </w:r>
    </w:p>
    <w:p w14:paraId="482B447B" w14:textId="77777777" w:rsidR="00561F89" w:rsidRDefault="00561F89" w:rsidP="00CE59DD">
      <w:pPr>
        <w:jc w:val="both"/>
        <w:rPr>
          <w:i/>
        </w:rPr>
      </w:pPr>
    </w:p>
    <w:p w14:paraId="6FE8E62F" w14:textId="2B602AAC" w:rsidR="00561F89" w:rsidRDefault="00561F89" w:rsidP="00561F89">
      <w:pPr>
        <w:pStyle w:val="Heading2"/>
        <w:jc w:val="both"/>
      </w:pPr>
      <w:r>
        <w:lastRenderedPageBreak/>
        <w:t xml:space="preserve">Satellite ephemeris </w:t>
      </w:r>
      <w:r w:rsidR="00D374AE">
        <w:t>signaling</w:t>
      </w:r>
    </w:p>
    <w:p w14:paraId="65F17189" w14:textId="2535704C" w:rsidR="00970368" w:rsidRDefault="00561F89" w:rsidP="00561F89">
      <w:pPr>
        <w:jc w:val="both"/>
      </w:pPr>
      <w:r>
        <w:t xml:space="preserve">It was agreed </w:t>
      </w:r>
      <w:r w:rsidR="009B4A8C">
        <w:fldChar w:fldCharType="begin"/>
      </w:r>
      <w:r w:rsidR="009B4A8C">
        <w:instrText xml:space="preserve"> REF _Ref77950860 \r \h </w:instrText>
      </w:r>
      <w:r w:rsidR="009B4A8C">
        <w:fldChar w:fldCharType="separate"/>
      </w:r>
      <w:r w:rsidR="009B4A8C">
        <w:t>[4]</w:t>
      </w:r>
      <w:r w:rsidR="009B4A8C">
        <w:fldChar w:fldCharType="end"/>
      </w:r>
      <w:r w:rsidR="00EE259C">
        <w:t xml:space="preserve"> </w:t>
      </w:r>
      <w:r>
        <w:t>that</w:t>
      </w:r>
      <w:r w:rsidR="00EE259C">
        <w:t xml:space="preserve"> </w:t>
      </w:r>
      <w:r>
        <w:t xml:space="preserve">two options of satellite ephemeris formats is supported. The first format is state </w:t>
      </w:r>
      <w:r w:rsidR="008C38E6">
        <w:t>vectors,</w:t>
      </w:r>
      <w:r w:rsidR="006F7D8C">
        <w:t xml:space="preserve"> </w:t>
      </w:r>
      <w:r>
        <w:t>and the second format is orbital elements. The state vector</w:t>
      </w:r>
      <w:r w:rsidR="006F7D8C">
        <w:t>s</w:t>
      </w:r>
      <w:r>
        <w:t xml:space="preserve"> </w:t>
      </w:r>
      <w:r w:rsidR="003D72F1">
        <w:t>are</w:t>
      </w:r>
      <w:r>
        <w:t xml:space="preserve"> based on ECEF position vectors (x, y, z) and ECEF velocity vectors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The orbital elements are based on semi-major axis (</w:t>
      </w:r>
      <m:oMath>
        <m:r>
          <w:rPr>
            <w:rFonts w:ascii="Cambria Math" w:hAnsi="Cambria Math"/>
          </w:rPr>
          <m:t>a</m:t>
        </m:r>
      </m:oMath>
      <w:r>
        <w:t>), eccentricity (</w:t>
      </w:r>
      <m:oMath>
        <m:r>
          <w:rPr>
            <w:rFonts w:ascii="Cambria Math" w:hAnsi="Cambria Math"/>
          </w:rPr>
          <m:t>e</m:t>
        </m:r>
      </m:oMath>
      <w:r>
        <w:t>), argument of periapsis (</w:t>
      </w:r>
      <m:oMath>
        <m:r>
          <w:rPr>
            <w:rFonts w:ascii="Cambria Math" w:hAnsi="Cambria Math"/>
          </w:rPr>
          <m:t>ω</m:t>
        </m:r>
      </m:oMath>
      <w:r>
        <w:t>), inclination (</w:t>
      </w:r>
      <m:oMath>
        <m:r>
          <w:rPr>
            <w:rFonts w:ascii="Cambria Math" w:hAnsi="Cambria Math"/>
          </w:rPr>
          <m:t>i</m:t>
        </m:r>
      </m:oMath>
      <w:r>
        <w:t>), longitude of ascending node (</w:t>
      </w:r>
      <m:oMath>
        <m:r>
          <m:rPr>
            <m:sty m:val="p"/>
          </m:rPr>
          <w:rPr>
            <w:rFonts w:ascii="Cambria Math" w:hAnsi="Cambria Math"/>
          </w:rPr>
          <m:t>Ω</m:t>
        </m:r>
      </m:oMath>
      <w:r>
        <w:t>) and mean anomaly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w:t>
      </w:r>
    </w:p>
    <w:p w14:paraId="0749CA16" w14:textId="36947F0A" w:rsidR="00970368" w:rsidRDefault="00970368" w:rsidP="00561F89">
      <w:pPr>
        <w:jc w:val="both"/>
      </w:pPr>
    </w:p>
    <w:p w14:paraId="79DA708E" w14:textId="2A0ED40F" w:rsidR="003C1C90" w:rsidRDefault="003C1C90" w:rsidP="00561F89">
      <w:pPr>
        <w:jc w:val="both"/>
      </w:pPr>
      <w:r>
        <w:t xml:space="preserve">The field size for each parameter is open. In our view, </w:t>
      </w:r>
      <w:r w:rsidR="003F7D62">
        <w:t xml:space="preserve">the field size determines the accuracy of the satellite ephemeris, which depends on the timing synchronization requirements. </w:t>
      </w:r>
      <w:r w:rsidR="00F63542">
        <w:t>Hence, we could hold the discussion on field size for each parameter until receiving the</w:t>
      </w:r>
      <w:r w:rsidR="003F7D62">
        <w:t xml:space="preserve"> response from RAN4 on the uplink timing synchronization requirements</w:t>
      </w:r>
      <w:r w:rsidR="00F63542">
        <w:t xml:space="preserve">. </w:t>
      </w:r>
    </w:p>
    <w:p w14:paraId="15EA1786" w14:textId="50951B83" w:rsidR="00EE259C" w:rsidRDefault="00EE259C" w:rsidP="00561F89">
      <w:pPr>
        <w:jc w:val="both"/>
      </w:pPr>
    </w:p>
    <w:p w14:paraId="034D5466" w14:textId="64E3835B" w:rsidR="00EE259C" w:rsidRDefault="00EE259C" w:rsidP="00561F89">
      <w:pPr>
        <w:jc w:val="both"/>
      </w:pPr>
      <w:r>
        <w:t xml:space="preserve">On the other hand, the value range and value granularity of satellite ephemeris may depend on the deployment scenarios. For example, the value range of ECEF position in LEO satellite is much smaller than that in GEO satellite. The signaling optimization depending on satellite types could be considered. </w:t>
      </w:r>
    </w:p>
    <w:p w14:paraId="265437BD" w14:textId="1857C648" w:rsidR="00F63542" w:rsidRDefault="00F63542" w:rsidP="00561F89">
      <w:pPr>
        <w:jc w:val="both"/>
      </w:pPr>
    </w:p>
    <w:p w14:paraId="7A5E65DC" w14:textId="67D57E22" w:rsidR="00F63542" w:rsidRDefault="00F63542" w:rsidP="00561F89">
      <w:pPr>
        <w:jc w:val="both"/>
        <w:rPr>
          <w:i/>
        </w:rPr>
      </w:pPr>
      <w:r w:rsidRPr="00AF7CFF">
        <w:rPr>
          <w:b/>
          <w:i/>
          <w:u w:val="single"/>
        </w:rPr>
        <w:t xml:space="preserve">Proposal </w:t>
      </w:r>
      <w:r w:rsidR="00EE259C">
        <w:rPr>
          <w:b/>
          <w:i/>
          <w:u w:val="single"/>
        </w:rPr>
        <w:t>8</w:t>
      </w:r>
      <w:r w:rsidRPr="00AF7CFF">
        <w:rPr>
          <w:b/>
          <w:i/>
          <w:u w:val="single"/>
        </w:rPr>
        <w:t>:</w:t>
      </w:r>
      <w:r w:rsidRPr="00AF7CFF">
        <w:rPr>
          <w:i/>
        </w:rPr>
        <w:t xml:space="preserve"> </w:t>
      </w:r>
      <w:r>
        <w:rPr>
          <w:i/>
        </w:rPr>
        <w:t xml:space="preserve">RAN1 to discuss the field size for each ephemeris parameter after receiving RAN4 response on timing synchronization requirements. </w:t>
      </w:r>
    </w:p>
    <w:p w14:paraId="51BB9BC1" w14:textId="77777777" w:rsidR="00CE59DD" w:rsidRDefault="00CE59DD" w:rsidP="00CE59DD">
      <w:pPr>
        <w:jc w:val="both"/>
        <w:rPr>
          <w:i/>
        </w:rPr>
      </w:pPr>
    </w:p>
    <w:p w14:paraId="2896E657" w14:textId="2DF29AD0" w:rsidR="00854A60" w:rsidRPr="00A6576F" w:rsidRDefault="009C5A97" w:rsidP="00FB330B">
      <w:pPr>
        <w:pStyle w:val="Heading1"/>
      </w:pPr>
      <w:r w:rsidRPr="00A6576F">
        <w:t>Conclusion</w:t>
      </w:r>
    </w:p>
    <w:p w14:paraId="1C116919" w14:textId="3F7F130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 NTN. </w:t>
      </w:r>
      <w:r w:rsidR="009C0798">
        <w:t xml:space="preserve">Our proposals are as follows: </w:t>
      </w:r>
    </w:p>
    <w:p w14:paraId="419F82FC" w14:textId="4CCF1F0D" w:rsidR="002A795A" w:rsidRDefault="002A795A" w:rsidP="000A1967"/>
    <w:p w14:paraId="0FC40737" w14:textId="77777777" w:rsidR="008F4B5A" w:rsidRDefault="008F4B5A" w:rsidP="008F4B5A">
      <w:pPr>
        <w:jc w:val="both"/>
        <w:rPr>
          <w:i/>
        </w:rPr>
      </w:pPr>
      <w:r w:rsidRPr="00AF7963">
        <w:rPr>
          <w:b/>
          <w:i/>
          <w:u w:val="single"/>
        </w:rPr>
        <w:t xml:space="preserve">Proposal </w:t>
      </w:r>
      <w:r>
        <w:rPr>
          <w:b/>
          <w:i/>
          <w:u w:val="single"/>
        </w:rPr>
        <w:t>1</w:t>
      </w:r>
      <w:r w:rsidRPr="001C381A">
        <w:rPr>
          <w:b/>
          <w:i/>
          <w:u w:val="single"/>
        </w:rPr>
        <w:t>:</w:t>
      </w:r>
      <w:r>
        <w:rPr>
          <w:i/>
        </w:rPr>
        <w:t xml:space="preserve"> It is up to network implementation on the indication of common TA drift parameters.</w:t>
      </w:r>
    </w:p>
    <w:p w14:paraId="6E558F7C" w14:textId="77777777" w:rsidR="008F4B5A" w:rsidRDefault="008F4B5A" w:rsidP="008F4B5A">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If c</w:t>
      </w:r>
      <w:r w:rsidRPr="0021487D">
        <w:rPr>
          <w:rFonts w:ascii="Times New Roman" w:eastAsia="Malgun Gothic" w:hAnsi="Times New Roman"/>
          <w:i/>
          <w:sz w:val="24"/>
          <w:szCs w:val="24"/>
          <w:lang w:eastAsia="zh-CN"/>
        </w:rPr>
        <w:t>ommon TA drift parameters are not indicated, then</w:t>
      </w:r>
      <w:r>
        <w:rPr>
          <w:rFonts w:ascii="Times New Roman" w:eastAsia="Malgun Gothic" w:hAnsi="Times New Roman"/>
          <w:i/>
          <w:sz w:val="24"/>
          <w:szCs w:val="24"/>
          <w:lang w:eastAsia="zh-CN"/>
        </w:rPr>
        <w:t xml:space="preserve"> UE assumes no common TA drift.</w:t>
      </w:r>
    </w:p>
    <w:p w14:paraId="636E8553" w14:textId="77777777" w:rsidR="008F4B5A" w:rsidRDefault="008F4B5A" w:rsidP="008F4B5A">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common TA drift parameters are indicated, then UE pre-compensates the drifted common TA. </w:t>
      </w:r>
    </w:p>
    <w:p w14:paraId="21FDB5F8" w14:textId="77777777" w:rsidR="008F4B5A" w:rsidRDefault="008F4B5A" w:rsidP="008F4B5A">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The common TA timing error is not counted in UE’s uplink timing error budget. </w:t>
      </w:r>
    </w:p>
    <w:p w14:paraId="1D3AA564" w14:textId="77777777" w:rsidR="008F4B5A" w:rsidRPr="0021487D" w:rsidRDefault="008F4B5A" w:rsidP="008F4B5A">
      <w:pPr>
        <w:pStyle w:val="ListParagraph"/>
        <w:numPr>
          <w:ilvl w:val="0"/>
          <w:numId w:val="39"/>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Common TA drift parameters include at least common TA drift rate. FFS common TA drift high order derivatives.</w:t>
      </w:r>
    </w:p>
    <w:p w14:paraId="40E72331" w14:textId="77777777" w:rsidR="00225800" w:rsidRDefault="00225800" w:rsidP="000A1967"/>
    <w:p w14:paraId="5755924E" w14:textId="77777777" w:rsidR="00E2634A" w:rsidRDefault="00E2634A" w:rsidP="00E2634A">
      <w:pPr>
        <w:jc w:val="both"/>
        <w:rPr>
          <w:iCs/>
        </w:rPr>
      </w:pPr>
      <w:r w:rsidRPr="00AF7963">
        <w:rPr>
          <w:b/>
          <w:i/>
          <w:u w:val="single"/>
        </w:rPr>
        <w:t xml:space="preserve">Proposal </w:t>
      </w:r>
      <w:r>
        <w:rPr>
          <w:b/>
          <w:i/>
          <w:u w:val="single"/>
        </w:rPr>
        <w:t>2</w:t>
      </w:r>
      <w:r w:rsidRPr="001C381A">
        <w:rPr>
          <w:b/>
          <w:i/>
          <w:u w:val="single"/>
        </w:rPr>
        <w:t>:</w:t>
      </w:r>
      <w:r>
        <w:rPr>
          <w:i/>
        </w:rPr>
        <w:t xml:space="preserve"> The broadcast common TA </w:t>
      </w:r>
      <w:r>
        <w:rPr>
          <w:i/>
          <w:color w:val="000000"/>
        </w:rPr>
        <w:t xml:space="preserve">is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Pr>
          <w:i/>
          <w:color w:val="000000"/>
        </w:rPr>
        <w:t>.</w:t>
      </w:r>
    </w:p>
    <w:p w14:paraId="1ADC255F" w14:textId="1ED77D8C" w:rsidR="00225800" w:rsidRDefault="00225800" w:rsidP="000A1967"/>
    <w:p w14:paraId="1AE4F95D" w14:textId="77777777" w:rsidR="00362925" w:rsidRDefault="00362925" w:rsidP="00362925">
      <w:pPr>
        <w:jc w:val="both"/>
        <w:rPr>
          <w:iCs/>
        </w:rPr>
      </w:pPr>
      <w:r w:rsidRPr="00AF7963">
        <w:rPr>
          <w:b/>
          <w:i/>
          <w:u w:val="single"/>
        </w:rPr>
        <w:t xml:space="preserve">Proposal </w:t>
      </w:r>
      <w:r>
        <w:rPr>
          <w:b/>
          <w:i/>
          <w:u w:val="single"/>
        </w:rPr>
        <w:t>3</w:t>
      </w:r>
      <w:r w:rsidRPr="001C381A">
        <w:rPr>
          <w:b/>
          <w:i/>
          <w:u w:val="single"/>
        </w:rPr>
        <w:t>:</w:t>
      </w:r>
      <w:r>
        <w:rPr>
          <w:i/>
        </w:rPr>
        <w:t xml:space="preserve">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5D3F37A8" w14:textId="77777777" w:rsidR="00362925" w:rsidRDefault="005A3289" w:rsidP="00362925">
      <w:pPr>
        <w:jc w:val="center"/>
        <w:rPr>
          <w:color w:val="000000"/>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 common,RX </m:t>
            </m:r>
          </m:sub>
        </m:sSub>
        <m:r>
          <w:rPr>
            <w:rFonts w:ascii="Cambria Math" w:eastAsia="SimSun" w:hAnsi="Cambria Math"/>
            <w:color w:val="000000"/>
          </w:rPr>
          <m:t>⋅</m:t>
        </m:r>
        <m:r>
          <m:rPr>
            <m:sty m:val="p"/>
          </m:rPr>
          <w:rPr>
            <w:rFonts w:ascii="Cambria Math" w:eastAsia="SimSun" w:hAnsi="Cambria Math"/>
            <w:color w:val="000000"/>
          </w:rPr>
          <m:t>Δ</m:t>
        </m:r>
        <m:r>
          <w:rPr>
            <w:rFonts w:ascii="Cambria Math" w:eastAsia="SimSun" w:hAnsi="Cambria Math"/>
            <w:color w:val="000000"/>
          </w:rPr>
          <m:t>t</m:t>
        </m:r>
      </m:oMath>
      <w:r w:rsidR="00362925">
        <w:rPr>
          <w:color w:val="000000"/>
        </w:rPr>
        <w:t>,</w:t>
      </w:r>
    </w:p>
    <w:p w14:paraId="5D46FDD3" w14:textId="77777777" w:rsidR="00362925" w:rsidRDefault="00362925" w:rsidP="00362925">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Pr>
          <w:i/>
          <w:color w:val="000000"/>
        </w:rPr>
        <w:t xml:space="preserve">is the latest received common TA drift rate (if indicated) and </w:t>
      </w:r>
      <m:oMath>
        <m:r>
          <w:rPr>
            <w:rFonts w:ascii="Cambria Math" w:hAnsi="Cambria Math"/>
            <w:color w:val="000000"/>
          </w:rPr>
          <m:t>Δt</m:t>
        </m:r>
      </m:oMath>
      <w:r w:rsidRPr="00DD14FA">
        <w:rPr>
          <w:i/>
          <w:color w:val="000000"/>
        </w:rPr>
        <w:t xml:space="preserve"> is the time gap between the latest common TA </w:t>
      </w:r>
      <w:r>
        <w:rPr>
          <w:i/>
          <w:color w:val="000000"/>
        </w:rPr>
        <w:t>transmission</w:t>
      </w:r>
      <w:r w:rsidRPr="00DD14FA">
        <w:rPr>
          <w:i/>
          <w:color w:val="000000"/>
        </w:rPr>
        <w:t xml:space="preserve"> and the corresponding uplink transmission</w:t>
      </w:r>
      <w:r>
        <w:rPr>
          <w:i/>
          <w:color w:val="000000"/>
        </w:rPr>
        <w:t>.</w:t>
      </w:r>
    </w:p>
    <w:p w14:paraId="4E0532E3" w14:textId="77777777" w:rsidR="00225800" w:rsidRDefault="00225800" w:rsidP="00225800">
      <w:pPr>
        <w:jc w:val="both"/>
        <w:rPr>
          <w:i/>
          <w:color w:val="000000"/>
        </w:rPr>
      </w:pPr>
    </w:p>
    <w:p w14:paraId="463913FB" w14:textId="77777777" w:rsidR="00E2634A" w:rsidRPr="00E642A4" w:rsidRDefault="00E2634A" w:rsidP="00E2634A">
      <w:pPr>
        <w:jc w:val="both"/>
        <w:rPr>
          <w:sz w:val="22"/>
          <w:szCs w:val="22"/>
          <w:lang w:eastAsia="x-none"/>
        </w:rPr>
      </w:pPr>
      <w:r w:rsidRPr="00AF7963">
        <w:rPr>
          <w:b/>
          <w:i/>
          <w:u w:val="single"/>
        </w:rPr>
        <w:t xml:space="preserve">Proposal </w:t>
      </w:r>
      <w:r>
        <w:rPr>
          <w:b/>
          <w:i/>
          <w:u w:val="single"/>
        </w:rPr>
        <w:t>4</w:t>
      </w:r>
      <w:r w:rsidRPr="00AF7963">
        <w:rPr>
          <w:b/>
          <w:i/>
          <w:u w:val="single"/>
        </w:rPr>
        <w:t>:</w:t>
      </w:r>
      <w:r w:rsidRPr="00AF7963">
        <w:rPr>
          <w:i/>
        </w:rPr>
        <w:t xml:space="preserve"> </w:t>
      </w:r>
      <w:r>
        <w:rPr>
          <w:i/>
        </w:rPr>
        <w:t xml:space="preserve">RAN1 to determine the necessity of specifying TA margin, depending on RAN4’s conclusion. </w:t>
      </w:r>
    </w:p>
    <w:p w14:paraId="6C9722B2" w14:textId="77777777" w:rsidR="00E2634A" w:rsidRDefault="00E2634A" w:rsidP="00225800">
      <w:pPr>
        <w:jc w:val="both"/>
        <w:rPr>
          <w:i/>
        </w:rPr>
      </w:pPr>
    </w:p>
    <w:p w14:paraId="1E49AC61" w14:textId="41E2F932" w:rsidR="00E2634A" w:rsidRDefault="00E2634A" w:rsidP="00225800">
      <w:pPr>
        <w:jc w:val="both"/>
        <w:rPr>
          <w:i/>
        </w:rPr>
      </w:pPr>
      <w:r w:rsidRPr="00AF7963">
        <w:rPr>
          <w:b/>
          <w:i/>
          <w:u w:val="single"/>
        </w:rPr>
        <w:t xml:space="preserve">Proposal </w:t>
      </w:r>
      <w:r w:rsidR="00EE259C">
        <w:rPr>
          <w:b/>
          <w:i/>
          <w:u w:val="single"/>
        </w:rPr>
        <w:t>5</w:t>
      </w:r>
      <w:r w:rsidRPr="001C381A">
        <w:rPr>
          <w:b/>
          <w:i/>
          <w:u w:val="single"/>
        </w:rPr>
        <w:t>:</w:t>
      </w:r>
      <w:r>
        <w:rPr>
          <w:i/>
        </w:rPr>
        <w:t xml:space="preserve"> RAN1 to study whether or not introducing the TA drift rate in TA command MAC CE.</w:t>
      </w:r>
    </w:p>
    <w:p w14:paraId="28C40749" w14:textId="77777777" w:rsidR="00225800" w:rsidRDefault="00225800" w:rsidP="000A1967"/>
    <w:p w14:paraId="109EF2C8" w14:textId="0B32298A" w:rsidR="00E2634A" w:rsidRDefault="00E2634A" w:rsidP="00E2634A">
      <w:pPr>
        <w:jc w:val="both"/>
        <w:rPr>
          <w:i/>
        </w:rPr>
      </w:pPr>
      <w:r w:rsidRPr="00CE2021">
        <w:rPr>
          <w:b/>
          <w:i/>
          <w:u w:val="single"/>
        </w:rPr>
        <w:t xml:space="preserve">Proposal </w:t>
      </w:r>
      <w:r w:rsidR="00EE259C">
        <w:rPr>
          <w:b/>
          <w:i/>
          <w:u w:val="single"/>
        </w:rPr>
        <w:t>6</w:t>
      </w:r>
      <w:r w:rsidRPr="00CE2021">
        <w:rPr>
          <w:b/>
          <w:i/>
          <w:u w:val="single"/>
        </w:rPr>
        <w:t>:</w:t>
      </w:r>
      <w:r w:rsidRPr="00CE2021">
        <w:rPr>
          <w:i/>
        </w:rPr>
        <w:t xml:space="preserve"> </w:t>
      </w:r>
      <w:r>
        <w:rPr>
          <w:i/>
        </w:rPr>
        <w:t>In downlink transmissions, s</w:t>
      </w:r>
      <w:r w:rsidRPr="00CE2021">
        <w:rPr>
          <w:i/>
        </w:rPr>
        <w:t>upport gNB pre-compensates and indicates a frequency offset for the service link Doppler shift with respect to a reference point.</w:t>
      </w:r>
    </w:p>
    <w:p w14:paraId="7F1E7245" w14:textId="77777777" w:rsidR="00225800" w:rsidRDefault="00225800" w:rsidP="000A1967"/>
    <w:p w14:paraId="0EB0377B" w14:textId="52ED3061" w:rsidR="00EE259C" w:rsidRDefault="00EE259C" w:rsidP="00EE259C">
      <w:pPr>
        <w:jc w:val="both"/>
        <w:rPr>
          <w:i/>
        </w:rPr>
      </w:pPr>
      <w:r w:rsidRPr="00AF7CFF">
        <w:rPr>
          <w:b/>
          <w:i/>
          <w:u w:val="single"/>
        </w:rPr>
        <w:t xml:space="preserve">Proposal </w:t>
      </w:r>
      <w:r>
        <w:rPr>
          <w:b/>
          <w:i/>
          <w:u w:val="single"/>
        </w:rPr>
        <w:t>7</w:t>
      </w:r>
      <w:r w:rsidRPr="00AF7CFF">
        <w:rPr>
          <w:b/>
          <w:i/>
          <w:u w:val="single"/>
        </w:rPr>
        <w:t>:</w:t>
      </w:r>
      <w:r w:rsidRPr="00AF7CFF">
        <w:rPr>
          <w:i/>
        </w:rPr>
        <w:t xml:space="preserve"> UE only pre-compensates its estimated Doppler shift on the service link in its uplink transmissions, and additional network indication of frequency offset to be pre-compensated by UE is not supported.</w:t>
      </w:r>
    </w:p>
    <w:p w14:paraId="3B0DEBBE" w14:textId="5D8BDDF1" w:rsidR="0094091C" w:rsidRDefault="0094091C" w:rsidP="000A1967"/>
    <w:p w14:paraId="5CB93DC3" w14:textId="0F25A382" w:rsidR="00E2634A" w:rsidRDefault="00E2634A" w:rsidP="00E2634A">
      <w:pPr>
        <w:jc w:val="both"/>
        <w:rPr>
          <w:i/>
        </w:rPr>
      </w:pPr>
      <w:r w:rsidRPr="00AF7CFF">
        <w:rPr>
          <w:b/>
          <w:i/>
          <w:u w:val="single"/>
        </w:rPr>
        <w:t xml:space="preserve">Proposal </w:t>
      </w:r>
      <w:r w:rsidR="00EE259C">
        <w:rPr>
          <w:b/>
          <w:i/>
          <w:u w:val="single"/>
        </w:rPr>
        <w:t>8</w:t>
      </w:r>
      <w:r w:rsidRPr="00AF7CFF">
        <w:rPr>
          <w:b/>
          <w:i/>
          <w:u w:val="single"/>
        </w:rPr>
        <w:t>:</w:t>
      </w:r>
      <w:r w:rsidRPr="00AF7CFF">
        <w:rPr>
          <w:i/>
        </w:rPr>
        <w:t xml:space="preserve"> </w:t>
      </w:r>
      <w:r>
        <w:rPr>
          <w:i/>
        </w:rPr>
        <w:t xml:space="preserve">RAN1 to discuss the field size for each ephemeris parameter after receiving RAN4 response on timing synchronization requirements. </w:t>
      </w:r>
    </w:p>
    <w:p w14:paraId="4F634B39" w14:textId="77777777" w:rsidR="003D72F1" w:rsidRPr="0047155D" w:rsidRDefault="003D72F1" w:rsidP="000A1967"/>
    <w:p w14:paraId="2E75F001" w14:textId="77777777" w:rsidR="007E70BB" w:rsidRPr="00A6576F" w:rsidRDefault="005C63AE" w:rsidP="007E70BB">
      <w:pPr>
        <w:pStyle w:val="Heading1"/>
      </w:pPr>
      <w:r w:rsidRPr="00A6576F">
        <w:t>References</w:t>
      </w:r>
    </w:p>
    <w:p w14:paraId="1299971E" w14:textId="0E9295A4" w:rsidR="009C702B" w:rsidRDefault="00CE7C64" w:rsidP="009C70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442809"/>
      <w:bookmarkStart w:id="3" w:name="_Ref20471832"/>
      <w:bookmarkStart w:id="4" w:name="_Ref20563970"/>
      <w:r>
        <w:t>RP-211557</w:t>
      </w:r>
      <w:r w:rsidR="009C702B">
        <w:t xml:space="preserve">, </w:t>
      </w:r>
      <w:r w:rsidR="006C3F86">
        <w:t>“</w:t>
      </w:r>
      <w:r w:rsidR="009C702B">
        <w:t>Solutions for NR to support non-terrestrial networks (NTN),</w:t>
      </w:r>
      <w:r w:rsidR="006C3F86">
        <w:t>”</w:t>
      </w:r>
      <w:r w:rsidR="009C702B">
        <w:t xml:space="preserve"> </w:t>
      </w:r>
      <w:r w:rsidR="00421404">
        <w:t>Mar</w:t>
      </w:r>
      <w:r w:rsidR="009C702B">
        <w:t>. 202</w:t>
      </w:r>
      <w:r w:rsidR="00421404">
        <w:t>1</w:t>
      </w:r>
      <w:r w:rsidR="009C702B">
        <w:t>.</w:t>
      </w:r>
      <w:bookmarkEnd w:id="0"/>
      <w:r w:rsidR="009C702B">
        <w:t xml:space="preserve"> </w:t>
      </w:r>
    </w:p>
    <w:p w14:paraId="1641475B" w14:textId="28DD7767" w:rsidR="008E5734" w:rsidRDefault="008E573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215586"/>
      <w:r>
        <w:t>R1-2</w:t>
      </w:r>
      <w:r w:rsidR="00744E64">
        <w:t>1</w:t>
      </w:r>
      <w:r>
        <w:t>0</w:t>
      </w:r>
      <w:r w:rsidR="00CE7C64">
        <w:t>6290</w:t>
      </w:r>
      <w:r>
        <w:t>, “</w:t>
      </w:r>
      <w:r w:rsidR="00683B95" w:rsidRPr="00902581">
        <w:t>FL Summary on enhancements on UL time and frequency synchronization for NR NTN</w:t>
      </w:r>
      <w:r>
        <w:t xml:space="preserve">,” </w:t>
      </w:r>
      <w:r w:rsidR="00CE7C64">
        <w:t>May</w:t>
      </w:r>
      <w:r>
        <w:t xml:space="preserve"> 202</w:t>
      </w:r>
      <w:r w:rsidR="00744E64">
        <w:t>1</w:t>
      </w:r>
      <w:r>
        <w:t>.</w:t>
      </w:r>
      <w:bookmarkEnd w:id="1"/>
      <w:bookmarkEnd w:id="5"/>
      <w:r>
        <w:t xml:space="preserve">  </w:t>
      </w:r>
    </w:p>
    <w:p w14:paraId="3F4F305C" w14:textId="77777777" w:rsidR="00CE7C64" w:rsidRDefault="00CE7C64" w:rsidP="00CE7C6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75170717"/>
      <w:bookmarkStart w:id="7" w:name="_Ref70062107"/>
      <w:bookmarkStart w:id="8" w:name="_Ref49784738"/>
      <w:r>
        <w:t>Chairman’s Notes, 3GPP TSG RAN1 WG1 #105-e Meeting, May 2021.</w:t>
      </w:r>
      <w:bookmarkEnd w:id="6"/>
    </w:p>
    <w:p w14:paraId="3E308FE9" w14:textId="77777777" w:rsidR="00683B95" w:rsidRDefault="00683B95" w:rsidP="00683B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77950860"/>
      <w:r>
        <w:t>Chairman’s Notes, 3GPP TSG RAN1 WG1 #104b-e Meeting, Apr. 2021.</w:t>
      </w:r>
      <w:bookmarkEnd w:id="7"/>
      <w:bookmarkEnd w:id="9"/>
    </w:p>
    <w:p w14:paraId="108ED085" w14:textId="311D905C" w:rsidR="002F6DF8" w:rsidRDefault="002F6DF8" w:rsidP="002F6DF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70328290"/>
      <w:r>
        <w:t>Chairman’s Notes, 3GPP TSG RAN1 WG1 #10</w:t>
      </w:r>
      <w:r w:rsidR="00744E64">
        <w:t>4</w:t>
      </w:r>
      <w:r>
        <w:t xml:space="preserve">-e Meeting, </w:t>
      </w:r>
      <w:r w:rsidR="00744E64">
        <w:t>Feb</w:t>
      </w:r>
      <w:r>
        <w:t>. 202</w:t>
      </w:r>
      <w:r w:rsidR="00744E64">
        <w:t>1</w:t>
      </w:r>
      <w:r>
        <w:t>.</w:t>
      </w:r>
      <w:bookmarkEnd w:id="8"/>
      <w:bookmarkEnd w:id="10"/>
    </w:p>
    <w:p w14:paraId="7F30CB73" w14:textId="7006BFFD" w:rsidR="007617E2" w:rsidRDefault="00744E64" w:rsidP="00EE259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60214328"/>
      <w:bookmarkStart w:id="12" w:name="_Ref65074133"/>
      <w:r>
        <w:t>Chairman’s Notes, 3GPP TSG RAN1 WG1 #103-e Meeting, Nov. 2020.</w:t>
      </w:r>
      <w:bookmarkEnd w:id="2"/>
      <w:bookmarkEnd w:id="3"/>
      <w:bookmarkEnd w:id="4"/>
      <w:bookmarkEnd w:id="11"/>
      <w:bookmarkEnd w:id="12"/>
    </w:p>
    <w:sectPr w:rsidR="007617E2"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35D7B" w14:textId="77777777" w:rsidR="005A3289" w:rsidRDefault="005A3289">
      <w:r>
        <w:separator/>
      </w:r>
    </w:p>
  </w:endnote>
  <w:endnote w:type="continuationSeparator" w:id="0">
    <w:p w14:paraId="1D8D2A3A" w14:textId="77777777" w:rsidR="005A3289" w:rsidRDefault="005A3289">
      <w:r>
        <w:continuationSeparator/>
      </w:r>
    </w:p>
  </w:endnote>
  <w:endnote w:type="continuationNotice" w:id="1">
    <w:p w14:paraId="6559E3B2" w14:textId="77777777" w:rsidR="005A3289" w:rsidRDefault="005A3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繁胰ԝ㈀쏨羰"/>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683B95" w:rsidRDefault="00683B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5B88E" w14:textId="77777777" w:rsidR="005A3289" w:rsidRDefault="005A3289">
      <w:r>
        <w:separator/>
      </w:r>
    </w:p>
  </w:footnote>
  <w:footnote w:type="continuationSeparator" w:id="0">
    <w:p w14:paraId="7FF86025" w14:textId="77777777" w:rsidR="005A3289" w:rsidRDefault="005A3289">
      <w:r>
        <w:continuationSeparator/>
      </w:r>
    </w:p>
  </w:footnote>
  <w:footnote w:type="continuationNotice" w:id="1">
    <w:p w14:paraId="2B9DDCB9" w14:textId="77777777" w:rsidR="005A3289" w:rsidRDefault="005A32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071A92"/>
    <w:multiLevelType w:val="hybridMultilevel"/>
    <w:tmpl w:val="F822F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A3338"/>
    <w:multiLevelType w:val="hybridMultilevel"/>
    <w:tmpl w:val="64B6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37CD6"/>
    <w:multiLevelType w:val="hybridMultilevel"/>
    <w:tmpl w:val="C9A2D08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5D76FD"/>
    <w:multiLevelType w:val="hybridMultilevel"/>
    <w:tmpl w:val="9834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8421B4A">
      <w:numFmt w:val="bullet"/>
      <w:lvlText w:val="·"/>
      <w:lvlJc w:val="left"/>
      <w:pPr>
        <w:ind w:left="2300" w:hanging="50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E452C4"/>
    <w:multiLevelType w:val="hybridMultilevel"/>
    <w:tmpl w:val="B05A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7832"/>
    <w:multiLevelType w:val="hybridMultilevel"/>
    <w:tmpl w:val="D42AE1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E6286"/>
    <w:multiLevelType w:val="hybridMultilevel"/>
    <w:tmpl w:val="137A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5"/>
  </w:num>
  <w:num w:numId="4">
    <w:abstractNumId w:val="16"/>
  </w:num>
  <w:num w:numId="5">
    <w:abstractNumId w:val="10"/>
  </w:num>
  <w:num w:numId="6">
    <w:abstractNumId w:val="19"/>
  </w:num>
  <w:num w:numId="7">
    <w:abstractNumId w:val="29"/>
  </w:num>
  <w:num w:numId="8">
    <w:abstractNumId w:val="11"/>
  </w:num>
  <w:num w:numId="9">
    <w:abstractNumId w:val="26"/>
  </w:num>
  <w:num w:numId="10">
    <w:abstractNumId w:val="0"/>
  </w:num>
  <w:num w:numId="11">
    <w:abstractNumId w:val="31"/>
  </w:num>
  <w:num w:numId="12">
    <w:abstractNumId w:val="5"/>
  </w:num>
  <w:num w:numId="13">
    <w:abstractNumId w:val="28"/>
  </w:num>
  <w:num w:numId="14">
    <w:abstractNumId w:val="18"/>
  </w:num>
  <w:num w:numId="15">
    <w:abstractNumId w:val="32"/>
  </w:num>
  <w:num w:numId="16">
    <w:abstractNumId w:val="36"/>
  </w:num>
  <w:num w:numId="17">
    <w:abstractNumId w:val="9"/>
  </w:num>
  <w:num w:numId="18">
    <w:abstractNumId w:val="30"/>
  </w:num>
  <w:num w:numId="19">
    <w:abstractNumId w:val="12"/>
  </w:num>
  <w:num w:numId="20">
    <w:abstractNumId w:val="8"/>
  </w:num>
  <w:num w:numId="21">
    <w:abstractNumId w:val="27"/>
  </w:num>
  <w:num w:numId="22">
    <w:abstractNumId w:val="6"/>
  </w:num>
  <w:num w:numId="23">
    <w:abstractNumId w:val="24"/>
  </w:num>
  <w:num w:numId="24">
    <w:abstractNumId w:val="17"/>
  </w:num>
  <w:num w:numId="25">
    <w:abstractNumId w:val="20"/>
  </w:num>
  <w:num w:numId="26">
    <w:abstractNumId w:val="3"/>
  </w:num>
  <w:num w:numId="27">
    <w:abstractNumId w:val="21"/>
  </w:num>
  <w:num w:numId="28">
    <w:abstractNumId w:val="4"/>
  </w:num>
  <w:num w:numId="29">
    <w:abstractNumId w:val="35"/>
  </w:num>
  <w:num w:numId="30">
    <w:abstractNumId w:val="25"/>
  </w:num>
  <w:num w:numId="31">
    <w:abstractNumId w:val="22"/>
  </w:num>
  <w:num w:numId="32">
    <w:abstractNumId w:val="33"/>
  </w:num>
  <w:num w:numId="33">
    <w:abstractNumId w:val="7"/>
  </w:num>
  <w:num w:numId="34">
    <w:abstractNumId w:val="37"/>
  </w:num>
  <w:num w:numId="35">
    <w:abstractNumId w:val="34"/>
  </w:num>
  <w:num w:numId="36">
    <w:abstractNumId w:val="13"/>
  </w:num>
  <w:num w:numId="37">
    <w:abstractNumId w:val="14"/>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36"/>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3E2C"/>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D81"/>
    <w:rsid w:val="001062FB"/>
    <w:rsid w:val="001063E6"/>
    <w:rsid w:val="00106476"/>
    <w:rsid w:val="0010678F"/>
    <w:rsid w:val="00106C42"/>
    <w:rsid w:val="0010713F"/>
    <w:rsid w:val="00107310"/>
    <w:rsid w:val="001076C5"/>
    <w:rsid w:val="00107864"/>
    <w:rsid w:val="00110596"/>
    <w:rsid w:val="00110C67"/>
    <w:rsid w:val="0011121F"/>
    <w:rsid w:val="00112A0F"/>
    <w:rsid w:val="00113153"/>
    <w:rsid w:val="00113168"/>
    <w:rsid w:val="00113292"/>
    <w:rsid w:val="00113C17"/>
    <w:rsid w:val="00113CF4"/>
    <w:rsid w:val="00113D95"/>
    <w:rsid w:val="001144FF"/>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681"/>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BC4"/>
    <w:rsid w:val="00137F0B"/>
    <w:rsid w:val="001405B9"/>
    <w:rsid w:val="00140CDB"/>
    <w:rsid w:val="00140FC4"/>
    <w:rsid w:val="00140FE3"/>
    <w:rsid w:val="001410E9"/>
    <w:rsid w:val="001426A2"/>
    <w:rsid w:val="00143656"/>
    <w:rsid w:val="00143695"/>
    <w:rsid w:val="00143DDE"/>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49AC"/>
    <w:rsid w:val="00155135"/>
    <w:rsid w:val="00155155"/>
    <w:rsid w:val="001551B5"/>
    <w:rsid w:val="001554CA"/>
    <w:rsid w:val="00155512"/>
    <w:rsid w:val="001556BD"/>
    <w:rsid w:val="00156D09"/>
    <w:rsid w:val="00157158"/>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1A8"/>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4E7"/>
    <w:rsid w:val="001C4924"/>
    <w:rsid w:val="001C5118"/>
    <w:rsid w:val="001C5574"/>
    <w:rsid w:val="001C5726"/>
    <w:rsid w:val="001C6495"/>
    <w:rsid w:val="001C7019"/>
    <w:rsid w:val="001C7241"/>
    <w:rsid w:val="001C73A8"/>
    <w:rsid w:val="001C7AC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8CF"/>
    <w:rsid w:val="00203F96"/>
    <w:rsid w:val="002044C2"/>
    <w:rsid w:val="00204A58"/>
    <w:rsid w:val="00204B67"/>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87D"/>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800"/>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68"/>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1B67"/>
    <w:rsid w:val="002827AD"/>
    <w:rsid w:val="0028280A"/>
    <w:rsid w:val="00282A55"/>
    <w:rsid w:val="00283426"/>
    <w:rsid w:val="00283894"/>
    <w:rsid w:val="0028391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18"/>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BE"/>
    <w:rsid w:val="002A7D92"/>
    <w:rsid w:val="002B007F"/>
    <w:rsid w:val="002B0189"/>
    <w:rsid w:val="002B0F05"/>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6320"/>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514"/>
    <w:rsid w:val="002D2908"/>
    <w:rsid w:val="002D2E77"/>
    <w:rsid w:val="002D31F0"/>
    <w:rsid w:val="002D32CB"/>
    <w:rsid w:val="002D34B2"/>
    <w:rsid w:val="002D4322"/>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4C1"/>
    <w:rsid w:val="002E6612"/>
    <w:rsid w:val="002E6E7B"/>
    <w:rsid w:val="002E6EA1"/>
    <w:rsid w:val="002E7691"/>
    <w:rsid w:val="002E791C"/>
    <w:rsid w:val="002E7CAE"/>
    <w:rsid w:val="002F1715"/>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47E2F"/>
    <w:rsid w:val="00350345"/>
    <w:rsid w:val="0035159F"/>
    <w:rsid w:val="00351782"/>
    <w:rsid w:val="00351EE1"/>
    <w:rsid w:val="00351FA7"/>
    <w:rsid w:val="00352481"/>
    <w:rsid w:val="00352D87"/>
    <w:rsid w:val="0035342D"/>
    <w:rsid w:val="00353A0A"/>
    <w:rsid w:val="00353FD1"/>
    <w:rsid w:val="003545E2"/>
    <w:rsid w:val="0035482C"/>
    <w:rsid w:val="0035499D"/>
    <w:rsid w:val="003565AE"/>
    <w:rsid w:val="00356A4A"/>
    <w:rsid w:val="00356FE7"/>
    <w:rsid w:val="0035728D"/>
    <w:rsid w:val="003572FA"/>
    <w:rsid w:val="00357380"/>
    <w:rsid w:val="0035754F"/>
    <w:rsid w:val="00357B52"/>
    <w:rsid w:val="00357BB5"/>
    <w:rsid w:val="00360243"/>
    <w:rsid w:val="003602D9"/>
    <w:rsid w:val="003604CE"/>
    <w:rsid w:val="00361168"/>
    <w:rsid w:val="00361360"/>
    <w:rsid w:val="003616BD"/>
    <w:rsid w:val="003622B1"/>
    <w:rsid w:val="00362412"/>
    <w:rsid w:val="00362925"/>
    <w:rsid w:val="0036384F"/>
    <w:rsid w:val="00363F7D"/>
    <w:rsid w:val="00363FA0"/>
    <w:rsid w:val="00365797"/>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CC9"/>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824"/>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C21"/>
    <w:rsid w:val="003A7EF3"/>
    <w:rsid w:val="003B0554"/>
    <w:rsid w:val="003B05BE"/>
    <w:rsid w:val="003B13B9"/>
    <w:rsid w:val="003B159C"/>
    <w:rsid w:val="003B26A4"/>
    <w:rsid w:val="003B2A14"/>
    <w:rsid w:val="003B3395"/>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1C90"/>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2F1"/>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3F7D6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404"/>
    <w:rsid w:val="00421595"/>
    <w:rsid w:val="004220F6"/>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563"/>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9CA"/>
    <w:rsid w:val="00456A48"/>
    <w:rsid w:val="00456FC4"/>
    <w:rsid w:val="00457565"/>
    <w:rsid w:val="00457942"/>
    <w:rsid w:val="00457B71"/>
    <w:rsid w:val="00457CD9"/>
    <w:rsid w:val="00457E89"/>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45E"/>
    <w:rsid w:val="00472D9C"/>
    <w:rsid w:val="004734D0"/>
    <w:rsid w:val="004737F0"/>
    <w:rsid w:val="00473C75"/>
    <w:rsid w:val="00474096"/>
    <w:rsid w:val="004744C0"/>
    <w:rsid w:val="0047525B"/>
    <w:rsid w:val="0047556B"/>
    <w:rsid w:val="00475C6C"/>
    <w:rsid w:val="0047631A"/>
    <w:rsid w:val="0047656C"/>
    <w:rsid w:val="004765C1"/>
    <w:rsid w:val="00476929"/>
    <w:rsid w:val="00477768"/>
    <w:rsid w:val="004778F1"/>
    <w:rsid w:val="004808FD"/>
    <w:rsid w:val="00480C51"/>
    <w:rsid w:val="004821D5"/>
    <w:rsid w:val="00482471"/>
    <w:rsid w:val="004824B0"/>
    <w:rsid w:val="004826BA"/>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B42"/>
    <w:rsid w:val="004C0D60"/>
    <w:rsid w:val="004C1682"/>
    <w:rsid w:val="004C1ABA"/>
    <w:rsid w:val="004C257E"/>
    <w:rsid w:val="004C28A2"/>
    <w:rsid w:val="004C2E9F"/>
    <w:rsid w:val="004C2FCC"/>
    <w:rsid w:val="004C315B"/>
    <w:rsid w:val="004C3898"/>
    <w:rsid w:val="004C3E11"/>
    <w:rsid w:val="004C41EF"/>
    <w:rsid w:val="004C4904"/>
    <w:rsid w:val="004C4DA7"/>
    <w:rsid w:val="004C4E6A"/>
    <w:rsid w:val="004C4FA9"/>
    <w:rsid w:val="004C5898"/>
    <w:rsid w:val="004C5E66"/>
    <w:rsid w:val="004C5FAB"/>
    <w:rsid w:val="004C6355"/>
    <w:rsid w:val="004C672D"/>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1F89"/>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56F"/>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5B7C"/>
    <w:rsid w:val="00586FEE"/>
    <w:rsid w:val="0058798C"/>
    <w:rsid w:val="00587A6D"/>
    <w:rsid w:val="005900FA"/>
    <w:rsid w:val="005901CF"/>
    <w:rsid w:val="00590855"/>
    <w:rsid w:val="00591ADF"/>
    <w:rsid w:val="00591C56"/>
    <w:rsid w:val="00591D01"/>
    <w:rsid w:val="00591F85"/>
    <w:rsid w:val="005921EE"/>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289"/>
    <w:rsid w:val="005A3357"/>
    <w:rsid w:val="005A3F97"/>
    <w:rsid w:val="005A4EE2"/>
    <w:rsid w:val="005A519F"/>
    <w:rsid w:val="005A571B"/>
    <w:rsid w:val="005A6354"/>
    <w:rsid w:val="005A64F1"/>
    <w:rsid w:val="005A662D"/>
    <w:rsid w:val="005A6B66"/>
    <w:rsid w:val="005A74A1"/>
    <w:rsid w:val="005B17CD"/>
    <w:rsid w:val="005B1877"/>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370"/>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0CC"/>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B95"/>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AE1"/>
    <w:rsid w:val="006D0A7E"/>
    <w:rsid w:val="006D0B1B"/>
    <w:rsid w:val="006D0B9C"/>
    <w:rsid w:val="006D1806"/>
    <w:rsid w:val="006D2406"/>
    <w:rsid w:val="006D2675"/>
    <w:rsid w:val="006D2768"/>
    <w:rsid w:val="006D27E8"/>
    <w:rsid w:val="006D2846"/>
    <w:rsid w:val="006D2CA4"/>
    <w:rsid w:val="006D338F"/>
    <w:rsid w:val="006D3798"/>
    <w:rsid w:val="006D3AC2"/>
    <w:rsid w:val="006D3AC9"/>
    <w:rsid w:val="006D4105"/>
    <w:rsid w:val="006D46E9"/>
    <w:rsid w:val="006D587C"/>
    <w:rsid w:val="006D59C7"/>
    <w:rsid w:val="006D59F3"/>
    <w:rsid w:val="006D5BA1"/>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05"/>
    <w:rsid w:val="006E4E39"/>
    <w:rsid w:val="006E50B5"/>
    <w:rsid w:val="006E565E"/>
    <w:rsid w:val="006E5C98"/>
    <w:rsid w:val="006E5FA3"/>
    <w:rsid w:val="006E673D"/>
    <w:rsid w:val="006E6EC8"/>
    <w:rsid w:val="006E73AE"/>
    <w:rsid w:val="006E7898"/>
    <w:rsid w:val="006E7978"/>
    <w:rsid w:val="006E7D3B"/>
    <w:rsid w:val="006E7F4F"/>
    <w:rsid w:val="006F01B6"/>
    <w:rsid w:val="006F0C31"/>
    <w:rsid w:val="006F152E"/>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D8C"/>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0AB"/>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5AD"/>
    <w:rsid w:val="00716977"/>
    <w:rsid w:val="007172A4"/>
    <w:rsid w:val="007174A9"/>
    <w:rsid w:val="007174C2"/>
    <w:rsid w:val="00717D52"/>
    <w:rsid w:val="00717EC8"/>
    <w:rsid w:val="00720129"/>
    <w:rsid w:val="0072029C"/>
    <w:rsid w:val="007207E0"/>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6E6"/>
    <w:rsid w:val="00737F7B"/>
    <w:rsid w:val="0074046A"/>
    <w:rsid w:val="00740E58"/>
    <w:rsid w:val="00740F0B"/>
    <w:rsid w:val="007422EF"/>
    <w:rsid w:val="007429DC"/>
    <w:rsid w:val="00742A0C"/>
    <w:rsid w:val="00743E60"/>
    <w:rsid w:val="00744007"/>
    <w:rsid w:val="00744376"/>
    <w:rsid w:val="007445A0"/>
    <w:rsid w:val="007448FE"/>
    <w:rsid w:val="00744E64"/>
    <w:rsid w:val="0074524B"/>
    <w:rsid w:val="007455B1"/>
    <w:rsid w:val="00745C9E"/>
    <w:rsid w:val="00746B70"/>
    <w:rsid w:val="007472B6"/>
    <w:rsid w:val="007474EC"/>
    <w:rsid w:val="00747772"/>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7E2"/>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23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643"/>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B7B6A"/>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74F"/>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7C0"/>
    <w:rsid w:val="007F03D1"/>
    <w:rsid w:val="007F0B67"/>
    <w:rsid w:val="007F0EAE"/>
    <w:rsid w:val="007F1388"/>
    <w:rsid w:val="007F1713"/>
    <w:rsid w:val="007F18CF"/>
    <w:rsid w:val="007F1D05"/>
    <w:rsid w:val="007F23AC"/>
    <w:rsid w:val="007F3056"/>
    <w:rsid w:val="007F30B7"/>
    <w:rsid w:val="007F31D4"/>
    <w:rsid w:val="007F3584"/>
    <w:rsid w:val="007F3AD7"/>
    <w:rsid w:val="007F49C8"/>
    <w:rsid w:val="007F5CDD"/>
    <w:rsid w:val="007F5D6F"/>
    <w:rsid w:val="007F6B18"/>
    <w:rsid w:val="008002FF"/>
    <w:rsid w:val="00800FF0"/>
    <w:rsid w:val="00801259"/>
    <w:rsid w:val="008019AB"/>
    <w:rsid w:val="00801AAC"/>
    <w:rsid w:val="00801B77"/>
    <w:rsid w:val="00801D74"/>
    <w:rsid w:val="0080223B"/>
    <w:rsid w:val="00802E78"/>
    <w:rsid w:val="00803443"/>
    <w:rsid w:val="00803A1D"/>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6D09"/>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AE"/>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1C7"/>
    <w:rsid w:val="008833F5"/>
    <w:rsid w:val="008833FB"/>
    <w:rsid w:val="00883AAB"/>
    <w:rsid w:val="008840EF"/>
    <w:rsid w:val="008842A1"/>
    <w:rsid w:val="008843E9"/>
    <w:rsid w:val="00885E87"/>
    <w:rsid w:val="00886800"/>
    <w:rsid w:val="008877EC"/>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2F24"/>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8E6"/>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2F5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2DF"/>
    <w:rsid w:val="008E159E"/>
    <w:rsid w:val="008E1723"/>
    <w:rsid w:val="008E1909"/>
    <w:rsid w:val="008E1D70"/>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4B5A"/>
    <w:rsid w:val="008F681B"/>
    <w:rsid w:val="008F6FD2"/>
    <w:rsid w:val="008F7A38"/>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67F"/>
    <w:rsid w:val="00917948"/>
    <w:rsid w:val="00917CE9"/>
    <w:rsid w:val="00920A5E"/>
    <w:rsid w:val="00920BF2"/>
    <w:rsid w:val="00920E7D"/>
    <w:rsid w:val="00921111"/>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91C"/>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6A31"/>
    <w:rsid w:val="009474F2"/>
    <w:rsid w:val="00947695"/>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AF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7DB"/>
    <w:rsid w:val="00967F33"/>
    <w:rsid w:val="00970368"/>
    <w:rsid w:val="009706AD"/>
    <w:rsid w:val="00970A40"/>
    <w:rsid w:val="00970CFF"/>
    <w:rsid w:val="00970E55"/>
    <w:rsid w:val="0097130C"/>
    <w:rsid w:val="00971F08"/>
    <w:rsid w:val="00972FC1"/>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A8C"/>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1AA"/>
    <w:rsid w:val="00A623AD"/>
    <w:rsid w:val="00A62561"/>
    <w:rsid w:val="00A62A77"/>
    <w:rsid w:val="00A62A8F"/>
    <w:rsid w:val="00A62DD4"/>
    <w:rsid w:val="00A63483"/>
    <w:rsid w:val="00A634A9"/>
    <w:rsid w:val="00A63BEA"/>
    <w:rsid w:val="00A644CA"/>
    <w:rsid w:val="00A64815"/>
    <w:rsid w:val="00A64A69"/>
    <w:rsid w:val="00A6529E"/>
    <w:rsid w:val="00A6576F"/>
    <w:rsid w:val="00A657D7"/>
    <w:rsid w:val="00A65CE1"/>
    <w:rsid w:val="00A65E06"/>
    <w:rsid w:val="00A660AC"/>
    <w:rsid w:val="00A6687C"/>
    <w:rsid w:val="00A6760C"/>
    <w:rsid w:val="00A67AEE"/>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6E8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69A"/>
    <w:rsid w:val="00A90CFA"/>
    <w:rsid w:val="00A910A2"/>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E94"/>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20C4"/>
    <w:rsid w:val="00AD22F9"/>
    <w:rsid w:val="00AD236B"/>
    <w:rsid w:val="00AD2894"/>
    <w:rsid w:val="00AD2C54"/>
    <w:rsid w:val="00AD30AA"/>
    <w:rsid w:val="00AD3246"/>
    <w:rsid w:val="00AD3CF7"/>
    <w:rsid w:val="00AD3F94"/>
    <w:rsid w:val="00AD4A5A"/>
    <w:rsid w:val="00AD4F20"/>
    <w:rsid w:val="00AD51ED"/>
    <w:rsid w:val="00AD52B1"/>
    <w:rsid w:val="00AD58C1"/>
    <w:rsid w:val="00AD59E2"/>
    <w:rsid w:val="00AD5F22"/>
    <w:rsid w:val="00AD62BC"/>
    <w:rsid w:val="00AD6629"/>
    <w:rsid w:val="00AD6745"/>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AF7CFF"/>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68"/>
    <w:rsid w:val="00B0737B"/>
    <w:rsid w:val="00B07961"/>
    <w:rsid w:val="00B07EBA"/>
    <w:rsid w:val="00B100B9"/>
    <w:rsid w:val="00B1052A"/>
    <w:rsid w:val="00B105F6"/>
    <w:rsid w:val="00B125F7"/>
    <w:rsid w:val="00B13800"/>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A95"/>
    <w:rsid w:val="00B22AC0"/>
    <w:rsid w:val="00B22FCA"/>
    <w:rsid w:val="00B23230"/>
    <w:rsid w:val="00B23AE8"/>
    <w:rsid w:val="00B23CC2"/>
    <w:rsid w:val="00B24A9A"/>
    <w:rsid w:val="00B25210"/>
    <w:rsid w:val="00B26443"/>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D81"/>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6798E"/>
    <w:rsid w:val="00B704B6"/>
    <w:rsid w:val="00B70733"/>
    <w:rsid w:val="00B716B4"/>
    <w:rsid w:val="00B7328B"/>
    <w:rsid w:val="00B739F6"/>
    <w:rsid w:val="00B74C10"/>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31F"/>
    <w:rsid w:val="00B93427"/>
    <w:rsid w:val="00B93B55"/>
    <w:rsid w:val="00B93B59"/>
    <w:rsid w:val="00B9406A"/>
    <w:rsid w:val="00B94E68"/>
    <w:rsid w:val="00B951DC"/>
    <w:rsid w:val="00B9530B"/>
    <w:rsid w:val="00B95D98"/>
    <w:rsid w:val="00B964AB"/>
    <w:rsid w:val="00B96A62"/>
    <w:rsid w:val="00B973B9"/>
    <w:rsid w:val="00B97945"/>
    <w:rsid w:val="00B97C81"/>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7D9"/>
    <w:rsid w:val="00BA592D"/>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5B8"/>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DAD"/>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B3F"/>
    <w:rsid w:val="00C16C9A"/>
    <w:rsid w:val="00C17159"/>
    <w:rsid w:val="00C173FB"/>
    <w:rsid w:val="00C177D6"/>
    <w:rsid w:val="00C20D14"/>
    <w:rsid w:val="00C214EA"/>
    <w:rsid w:val="00C218C5"/>
    <w:rsid w:val="00C22345"/>
    <w:rsid w:val="00C22468"/>
    <w:rsid w:val="00C22E48"/>
    <w:rsid w:val="00C23EE8"/>
    <w:rsid w:val="00C2419C"/>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2B02"/>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96"/>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583"/>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25C"/>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F75"/>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021"/>
    <w:rsid w:val="00CE225F"/>
    <w:rsid w:val="00CE24E1"/>
    <w:rsid w:val="00CE2651"/>
    <w:rsid w:val="00CE2852"/>
    <w:rsid w:val="00CE2883"/>
    <w:rsid w:val="00CE2A8A"/>
    <w:rsid w:val="00CE4735"/>
    <w:rsid w:val="00CE5519"/>
    <w:rsid w:val="00CE56D0"/>
    <w:rsid w:val="00CE59DD"/>
    <w:rsid w:val="00CE5A51"/>
    <w:rsid w:val="00CE74E6"/>
    <w:rsid w:val="00CE7561"/>
    <w:rsid w:val="00CE7C64"/>
    <w:rsid w:val="00CE7D63"/>
    <w:rsid w:val="00CF0422"/>
    <w:rsid w:val="00CF1354"/>
    <w:rsid w:val="00CF1397"/>
    <w:rsid w:val="00CF27E3"/>
    <w:rsid w:val="00CF2C7F"/>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26E"/>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935"/>
    <w:rsid w:val="00D13C81"/>
    <w:rsid w:val="00D13E4E"/>
    <w:rsid w:val="00D14A4E"/>
    <w:rsid w:val="00D14FF8"/>
    <w:rsid w:val="00D15AAD"/>
    <w:rsid w:val="00D15D01"/>
    <w:rsid w:val="00D161D8"/>
    <w:rsid w:val="00D165B8"/>
    <w:rsid w:val="00D17CE4"/>
    <w:rsid w:val="00D2006E"/>
    <w:rsid w:val="00D21672"/>
    <w:rsid w:val="00D21BA6"/>
    <w:rsid w:val="00D2277F"/>
    <w:rsid w:val="00D239A7"/>
    <w:rsid w:val="00D23BE5"/>
    <w:rsid w:val="00D23F47"/>
    <w:rsid w:val="00D242E0"/>
    <w:rsid w:val="00D24951"/>
    <w:rsid w:val="00D24AD7"/>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4AE"/>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B7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0D"/>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6DF"/>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30A"/>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B0D"/>
    <w:rsid w:val="00DC7AAD"/>
    <w:rsid w:val="00DC7E2E"/>
    <w:rsid w:val="00DD0200"/>
    <w:rsid w:val="00DD0A3C"/>
    <w:rsid w:val="00DD0CCA"/>
    <w:rsid w:val="00DD1174"/>
    <w:rsid w:val="00DD14FA"/>
    <w:rsid w:val="00DD162C"/>
    <w:rsid w:val="00DD18FF"/>
    <w:rsid w:val="00DD24A0"/>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7B8"/>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634A"/>
    <w:rsid w:val="00E26DA2"/>
    <w:rsid w:val="00E3003E"/>
    <w:rsid w:val="00E30692"/>
    <w:rsid w:val="00E30B5A"/>
    <w:rsid w:val="00E3123D"/>
    <w:rsid w:val="00E31461"/>
    <w:rsid w:val="00E31D43"/>
    <w:rsid w:val="00E32189"/>
    <w:rsid w:val="00E321E8"/>
    <w:rsid w:val="00E32608"/>
    <w:rsid w:val="00E32950"/>
    <w:rsid w:val="00E32EB8"/>
    <w:rsid w:val="00E33156"/>
    <w:rsid w:val="00E3341C"/>
    <w:rsid w:val="00E33CDD"/>
    <w:rsid w:val="00E34188"/>
    <w:rsid w:val="00E345CD"/>
    <w:rsid w:val="00E34B6E"/>
    <w:rsid w:val="00E34F89"/>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A2C"/>
    <w:rsid w:val="00E94F33"/>
    <w:rsid w:val="00E94F8A"/>
    <w:rsid w:val="00E95E44"/>
    <w:rsid w:val="00E96572"/>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0E"/>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58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59C"/>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2BB"/>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5C4"/>
    <w:rsid w:val="00F07AA8"/>
    <w:rsid w:val="00F1019A"/>
    <w:rsid w:val="00F10629"/>
    <w:rsid w:val="00F106B3"/>
    <w:rsid w:val="00F10CDB"/>
    <w:rsid w:val="00F11055"/>
    <w:rsid w:val="00F119E8"/>
    <w:rsid w:val="00F11B2C"/>
    <w:rsid w:val="00F11B51"/>
    <w:rsid w:val="00F11BB0"/>
    <w:rsid w:val="00F11CE7"/>
    <w:rsid w:val="00F1226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4A3B"/>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862"/>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42"/>
    <w:rsid w:val="00F638B3"/>
    <w:rsid w:val="00F639A8"/>
    <w:rsid w:val="00F64C2B"/>
    <w:rsid w:val="00F650BF"/>
    <w:rsid w:val="00F651BE"/>
    <w:rsid w:val="00F659E9"/>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AFB"/>
    <w:rsid w:val="00F74BB9"/>
    <w:rsid w:val="00F74DBD"/>
    <w:rsid w:val="00F753FE"/>
    <w:rsid w:val="00F75582"/>
    <w:rsid w:val="00F75A72"/>
    <w:rsid w:val="00F75A7F"/>
    <w:rsid w:val="00F76028"/>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427"/>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5F20"/>
    <w:rsid w:val="00FE6296"/>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699E"/>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DraftProposal">
    <w:name w:val="Draft Proposal"/>
    <w:basedOn w:val="Normal"/>
    <w:uiPriority w:val="99"/>
    <w:rsid w:val="00CE7C64"/>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6</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2021-08-06T19:44:00Z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